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84"/>
        <w:gridCol w:w="8464"/>
      </w:tblGrid>
      <w:tr w:rsidR="003E19E7" w:rsidRPr="006E5273" w14:paraId="729E1B5E" w14:textId="77777777" w:rsidTr="00042892">
        <w:trPr>
          <w:trHeight w:val="340"/>
        </w:trPr>
        <w:tc>
          <w:tcPr>
            <w:tcW w:w="1384" w:type="dxa"/>
          </w:tcPr>
          <w:p w14:paraId="55316B54" w14:textId="77777777" w:rsidR="003E19E7" w:rsidRPr="006E5273" w:rsidRDefault="003E19E7" w:rsidP="00E12B44">
            <w:pPr>
              <w:spacing w:line="360" w:lineRule="auto"/>
              <w:rPr>
                <w:rFonts w:eastAsia="新細明體"/>
                <w:sz w:val="22"/>
                <w:szCs w:val="22"/>
                <w:lang w:eastAsia="zh-TW"/>
              </w:rPr>
            </w:pPr>
            <w:r w:rsidRPr="006E5273">
              <w:rPr>
                <w:rFonts w:eastAsia="新細明體"/>
                <w:sz w:val="22"/>
                <w:szCs w:val="22"/>
                <w:lang w:eastAsia="zh-TW"/>
              </w:rPr>
              <w:t>Subject:</w:t>
            </w:r>
          </w:p>
        </w:tc>
        <w:tc>
          <w:tcPr>
            <w:tcW w:w="8464" w:type="dxa"/>
          </w:tcPr>
          <w:p w14:paraId="63EF690E" w14:textId="7F270971" w:rsidR="003E19E7" w:rsidRPr="006E5273" w:rsidRDefault="00425E57" w:rsidP="00740CA9">
            <w:pPr>
              <w:spacing w:line="360" w:lineRule="auto"/>
              <w:rPr>
                <w:rFonts w:eastAsia="新細明體"/>
                <w:sz w:val="22"/>
                <w:szCs w:val="22"/>
                <w:lang w:eastAsia="zh-TW"/>
              </w:rPr>
            </w:pPr>
            <w:r w:rsidRPr="00425E57">
              <w:rPr>
                <w:rFonts w:eastAsia="新細明體"/>
                <w:sz w:val="22"/>
                <w:szCs w:val="22"/>
                <w:lang w:eastAsia="zh-TW"/>
              </w:rPr>
              <w:t>Stock Futures Market Enhancement</w:t>
            </w:r>
          </w:p>
        </w:tc>
      </w:tr>
      <w:tr w:rsidR="003E19E7" w:rsidRPr="006E5273" w14:paraId="0202448F" w14:textId="77777777" w:rsidTr="00425E57">
        <w:trPr>
          <w:trHeight w:val="821"/>
        </w:trPr>
        <w:tc>
          <w:tcPr>
            <w:tcW w:w="1384" w:type="dxa"/>
          </w:tcPr>
          <w:p w14:paraId="368CEAD2" w14:textId="77777777" w:rsidR="003E19E7" w:rsidRPr="006E5273" w:rsidRDefault="003E19E7" w:rsidP="00E12B44">
            <w:pPr>
              <w:spacing w:line="360" w:lineRule="auto"/>
              <w:rPr>
                <w:rFonts w:eastAsia="新細明體"/>
                <w:sz w:val="22"/>
                <w:szCs w:val="22"/>
                <w:lang w:eastAsia="zh-TW"/>
              </w:rPr>
            </w:pPr>
            <w:r w:rsidRPr="006E5273">
              <w:rPr>
                <w:rFonts w:eastAsia="新細明體"/>
                <w:sz w:val="22"/>
                <w:szCs w:val="22"/>
                <w:lang w:eastAsia="zh-TW"/>
              </w:rPr>
              <w:t>Enquiry:</w:t>
            </w:r>
          </w:p>
        </w:tc>
        <w:tc>
          <w:tcPr>
            <w:tcW w:w="8464" w:type="dxa"/>
          </w:tcPr>
          <w:p w14:paraId="0E839322" w14:textId="77777777" w:rsidR="00425E57" w:rsidRPr="00425E57" w:rsidRDefault="00425E57" w:rsidP="00425E57">
            <w:pPr>
              <w:tabs>
                <w:tab w:val="left" w:pos="2160"/>
              </w:tabs>
              <w:rPr>
                <w:rFonts w:eastAsia="新細明體"/>
                <w:sz w:val="22"/>
                <w:szCs w:val="22"/>
                <w:lang w:eastAsia="zh-TW"/>
              </w:rPr>
            </w:pPr>
            <w:r w:rsidRPr="00425E57">
              <w:rPr>
                <w:rFonts w:eastAsia="新細明體"/>
                <w:sz w:val="22"/>
                <w:szCs w:val="22"/>
                <w:lang w:eastAsia="zh-TW"/>
              </w:rPr>
              <w:t>Mr. Wallace Chan</w:t>
            </w:r>
            <w:r w:rsidRPr="00425E57">
              <w:rPr>
                <w:rFonts w:eastAsia="新細明體"/>
                <w:sz w:val="22"/>
                <w:szCs w:val="22"/>
                <w:lang w:eastAsia="zh-TW"/>
              </w:rPr>
              <w:tab/>
            </w:r>
            <w:r w:rsidRPr="00425E57">
              <w:rPr>
                <w:rFonts w:eastAsia="SimSun"/>
                <w:sz w:val="22"/>
                <w:szCs w:val="22"/>
                <w:lang w:eastAsia="zh-CN"/>
              </w:rPr>
              <w:t xml:space="preserve">(Tel: </w:t>
            </w:r>
            <w:r w:rsidRPr="00425E57">
              <w:rPr>
                <w:rFonts w:eastAsia="新細明體"/>
                <w:sz w:val="22"/>
                <w:szCs w:val="22"/>
                <w:lang w:eastAsia="zh-TW"/>
              </w:rPr>
              <w:t>2211-6139</w:t>
            </w:r>
            <w:r w:rsidRPr="00425E57">
              <w:rPr>
                <w:rFonts w:eastAsia="SimSun"/>
                <w:sz w:val="22"/>
                <w:szCs w:val="22"/>
                <w:lang w:eastAsia="zh-CN"/>
              </w:rPr>
              <w:t xml:space="preserve"> </w:t>
            </w:r>
            <w:r w:rsidRPr="00425E57">
              <w:rPr>
                <w:rFonts w:ascii="Arial Unicode MS" w:eastAsia="Arial Unicode MS" w:hAnsi="Arial Unicode MS" w:cs="Arial Unicode MS"/>
                <w:sz w:val="22"/>
                <w:szCs w:val="22"/>
                <w:lang w:eastAsia="zh-TW"/>
              </w:rPr>
              <w:t xml:space="preserve">  </w:t>
            </w:r>
            <w:r w:rsidRPr="00425E57">
              <w:rPr>
                <w:rFonts w:eastAsia="SimSun"/>
                <w:sz w:val="22"/>
                <w:szCs w:val="22"/>
                <w:lang w:eastAsia="zh-CN"/>
              </w:rPr>
              <w:t>E-mail:</w:t>
            </w:r>
            <w:r w:rsidRPr="00425E57">
              <w:rPr>
                <w:rFonts w:ascii="Arial Unicode MS" w:eastAsia="Arial Unicode MS" w:hAnsi="Arial Unicode MS" w:cs="Arial Unicode MS"/>
                <w:sz w:val="22"/>
                <w:szCs w:val="22"/>
                <w:lang w:eastAsia="zh-TW"/>
              </w:rPr>
              <w:t xml:space="preserve"> </w:t>
            </w:r>
            <w:hyperlink r:id="rId13" w:history="1">
              <w:r w:rsidRPr="00425E57">
                <w:rPr>
                  <w:rStyle w:val="Hyperlink"/>
                  <w:rFonts w:eastAsia="Arial Unicode MS"/>
                  <w:sz w:val="22"/>
                  <w:szCs w:val="22"/>
                  <w:lang w:eastAsia="zh-TW"/>
                </w:rPr>
                <w:t>wallacechan@hkex.com.hk</w:t>
              </w:r>
            </w:hyperlink>
            <w:r w:rsidRPr="00425E57">
              <w:rPr>
                <w:rFonts w:ascii="Arial Unicode MS" w:eastAsia="Arial Unicode MS" w:hAnsi="Arial Unicode MS" w:cs="Arial Unicode MS"/>
                <w:sz w:val="22"/>
                <w:szCs w:val="22"/>
                <w:lang w:eastAsia="zh-TW"/>
              </w:rPr>
              <w:t>)</w:t>
            </w:r>
          </w:p>
          <w:p w14:paraId="571955ED" w14:textId="53BE50DD" w:rsidR="003E19E7" w:rsidRPr="00425E57" w:rsidRDefault="00425E57" w:rsidP="00425E57">
            <w:pPr>
              <w:spacing w:line="360" w:lineRule="auto"/>
              <w:rPr>
                <w:rFonts w:eastAsia="新細明體"/>
                <w:sz w:val="22"/>
                <w:szCs w:val="22"/>
                <w:lang w:val="en-GB" w:eastAsia="zh-TW"/>
              </w:rPr>
            </w:pPr>
            <w:r w:rsidRPr="00425E57">
              <w:rPr>
                <w:rFonts w:eastAsia="新細明體"/>
                <w:sz w:val="22"/>
                <w:szCs w:val="22"/>
                <w:lang w:eastAsia="zh-TW"/>
              </w:rPr>
              <w:t xml:space="preserve">Ms. Flora Lo   </w:t>
            </w:r>
            <w:r w:rsidRPr="00425E57">
              <w:rPr>
                <w:rFonts w:eastAsia="新細明體"/>
                <w:sz w:val="22"/>
                <w:szCs w:val="22"/>
                <w:lang w:eastAsia="zh-TW"/>
              </w:rPr>
              <w:tab/>
              <w:t>(Tel: 2211-6137</w:t>
            </w:r>
            <w:r w:rsidRPr="00425E57">
              <w:rPr>
                <w:rFonts w:eastAsia="SimSun"/>
                <w:sz w:val="22"/>
                <w:szCs w:val="22"/>
                <w:lang w:eastAsia="zh-CN"/>
              </w:rPr>
              <w:t xml:space="preserve">   E-mail: </w:t>
            </w:r>
            <w:hyperlink r:id="rId14" w:history="1">
              <w:r w:rsidRPr="00425E57">
                <w:rPr>
                  <w:rStyle w:val="Hyperlink"/>
                  <w:rFonts w:eastAsia="SimSun"/>
                  <w:sz w:val="22"/>
                  <w:szCs w:val="22"/>
                  <w:lang w:eastAsia="zh-CN"/>
                </w:rPr>
                <w:t>floralo@hkex.com.hk</w:t>
              </w:r>
            </w:hyperlink>
            <w:r w:rsidRPr="00425E57">
              <w:rPr>
                <w:rFonts w:eastAsia="SimSun"/>
                <w:sz w:val="22"/>
                <w:szCs w:val="22"/>
                <w:lang w:eastAsia="zh-CN"/>
              </w:rPr>
              <w:t>)</w:t>
            </w:r>
          </w:p>
        </w:tc>
      </w:tr>
    </w:tbl>
    <w:p w14:paraId="1AE38262" w14:textId="77777777" w:rsidR="00425E57" w:rsidRPr="006E5273" w:rsidRDefault="003E19E7" w:rsidP="00A30E3D">
      <w:pPr>
        <w:spacing w:line="360" w:lineRule="auto"/>
        <w:rPr>
          <w:sz w:val="22"/>
          <w:szCs w:val="22"/>
        </w:rPr>
      </w:pPr>
      <w:r w:rsidRPr="006E5273">
        <w:rPr>
          <w:noProof/>
          <w:sz w:val="22"/>
          <w:szCs w:val="22"/>
          <w:lang w:eastAsia="zh-CN"/>
        </w:rPr>
        <mc:AlternateContent>
          <mc:Choice Requires="wps">
            <w:drawing>
              <wp:anchor distT="0" distB="0" distL="114300" distR="114300" simplePos="0" relativeHeight="251659264" behindDoc="0" locked="0" layoutInCell="1" allowOverlap="1" wp14:anchorId="0B2F0F9D" wp14:editId="2776A785">
                <wp:simplePos x="0" y="0"/>
                <wp:positionH relativeFrom="page">
                  <wp:posOffset>5034915</wp:posOffset>
                </wp:positionH>
                <wp:positionV relativeFrom="page">
                  <wp:posOffset>535940</wp:posOffset>
                </wp:positionV>
                <wp:extent cx="114935" cy="750570"/>
                <wp:effectExtent l="0" t="0" r="12065" b="17145"/>
                <wp:wrapThrough wrapText="bothSides">
                  <wp:wrapPolygon edited="0">
                    <wp:start x="0" y="0"/>
                    <wp:lineTo x="0" y="21361"/>
                    <wp:lineTo x="19094" y="21361"/>
                    <wp:lineTo x="19094"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114935" cy="7505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2835" w:type="dxa"/>
                              <w:tblCellMar>
                                <w:left w:w="0" w:type="dxa"/>
                                <w:right w:w="0" w:type="dxa"/>
                              </w:tblCellMar>
                              <w:tblLook w:val="04A0" w:firstRow="1" w:lastRow="0" w:firstColumn="1" w:lastColumn="0" w:noHBand="0" w:noVBand="1"/>
                            </w:tblPr>
                            <w:tblGrid>
                              <w:gridCol w:w="152"/>
                              <w:gridCol w:w="892"/>
                              <w:gridCol w:w="1791"/>
                            </w:tblGrid>
                            <w:tr w:rsidR="00877BF0" w14:paraId="5ECB7A67" w14:textId="77777777" w:rsidTr="0020437A">
                              <w:trPr>
                                <w:trHeight w:hRule="exact" w:val="586"/>
                              </w:trPr>
                              <w:tc>
                                <w:tcPr>
                                  <w:tcW w:w="152" w:type="dxa"/>
                                  <w:tcBorders>
                                    <w:bottom w:val="nil"/>
                                    <w:right w:val="nil"/>
                                  </w:tcBorders>
                                </w:tcPr>
                                <w:p w14:paraId="24F1179D" w14:textId="77777777" w:rsidR="00877BF0" w:rsidRPr="00E075A7" w:rsidRDefault="00877BF0" w:rsidP="00E075A7">
                                  <w:pPr>
                                    <w:spacing w:line="200" w:lineRule="exact"/>
                                    <w:rPr>
                                      <w:rFonts w:ascii="Microsoft JhengHei Bold" w:eastAsia="Microsoft JhengHei Bold" w:hAnsi="Microsoft JhengHei Bold"/>
                                      <w:sz w:val="16"/>
                                      <w:szCs w:val="16"/>
                                    </w:rPr>
                                  </w:pPr>
                                </w:p>
                              </w:tc>
                              <w:tc>
                                <w:tcPr>
                                  <w:tcW w:w="892" w:type="dxa"/>
                                  <w:tcBorders>
                                    <w:left w:val="nil"/>
                                    <w:right w:val="nil"/>
                                  </w:tcBorders>
                                  <w:vAlign w:val="center"/>
                                </w:tcPr>
                                <w:p w14:paraId="5023B73A" w14:textId="77777777" w:rsidR="00877BF0" w:rsidRPr="003F49A4" w:rsidRDefault="00877BF0"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編號</w:t>
                                  </w:r>
                                  <w:proofErr w:type="spellEnd"/>
                                </w:p>
                                <w:p w14:paraId="05391A12" w14:textId="77777777" w:rsidR="00877BF0" w:rsidRPr="00E075A7" w:rsidRDefault="00877BF0" w:rsidP="0020437A">
                                  <w:pPr>
                                    <w:spacing w:line="200" w:lineRule="exact"/>
                                  </w:pPr>
                                  <w:r w:rsidRPr="00E075A7">
                                    <w:rPr>
                                      <w:rFonts w:eastAsia="Microsoft JhengHei Bold"/>
                                      <w:sz w:val="16"/>
                                      <w:szCs w:val="16"/>
                                    </w:rPr>
                                    <w:t>Ref. No.:</w:t>
                                  </w:r>
                                </w:p>
                              </w:tc>
                              <w:tc>
                                <w:tcPr>
                                  <w:tcW w:w="1791" w:type="dxa"/>
                                  <w:tcBorders>
                                    <w:left w:val="nil"/>
                                  </w:tcBorders>
                                  <w:vAlign w:val="center"/>
                                </w:tcPr>
                                <w:p w14:paraId="7AA9CA86" w14:textId="0D2688A4" w:rsidR="00877BF0" w:rsidRDefault="00877BF0" w:rsidP="0020437A">
                                  <w:pPr>
                                    <w:spacing w:line="300" w:lineRule="exact"/>
                                  </w:pPr>
                                  <w:r>
                                    <w:t>MKD/EQD/</w:t>
                                  </w:r>
                                  <w:r w:rsidR="00491002">
                                    <w:t>16</w:t>
                                  </w:r>
                                  <w:r>
                                    <w:t>/18</w:t>
                                  </w:r>
                                </w:p>
                              </w:tc>
                            </w:tr>
                            <w:tr w:rsidR="00877BF0" w14:paraId="056944D6" w14:textId="77777777" w:rsidTr="0020437A">
                              <w:trPr>
                                <w:trHeight w:hRule="exact" w:val="586"/>
                              </w:trPr>
                              <w:tc>
                                <w:tcPr>
                                  <w:tcW w:w="152" w:type="dxa"/>
                                  <w:tcBorders>
                                    <w:top w:val="nil"/>
                                    <w:right w:val="nil"/>
                                  </w:tcBorders>
                                </w:tcPr>
                                <w:p w14:paraId="3F23A7B2" w14:textId="77777777" w:rsidR="00877BF0" w:rsidRDefault="00877BF0" w:rsidP="00E075A7">
                                  <w:pPr>
                                    <w:spacing w:line="300" w:lineRule="exact"/>
                                  </w:pPr>
                                </w:p>
                              </w:tc>
                              <w:tc>
                                <w:tcPr>
                                  <w:tcW w:w="892" w:type="dxa"/>
                                  <w:tcBorders>
                                    <w:left w:val="nil"/>
                                    <w:right w:val="nil"/>
                                  </w:tcBorders>
                                  <w:vAlign w:val="center"/>
                                </w:tcPr>
                                <w:p w14:paraId="55E52F2E" w14:textId="77777777" w:rsidR="00877BF0" w:rsidRPr="003F49A4" w:rsidRDefault="00877BF0"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日期</w:t>
                                  </w:r>
                                  <w:proofErr w:type="spellEnd"/>
                                </w:p>
                                <w:p w14:paraId="544FD78B" w14:textId="77777777" w:rsidR="00877BF0" w:rsidRDefault="00877BF0" w:rsidP="0020437A">
                                  <w:pPr>
                                    <w:spacing w:line="200" w:lineRule="exact"/>
                                  </w:pPr>
                                  <w:r w:rsidRPr="0020437A">
                                    <w:rPr>
                                      <w:rFonts w:eastAsia="Microsoft JhengHei Bold"/>
                                      <w:sz w:val="16"/>
                                      <w:szCs w:val="16"/>
                                    </w:rPr>
                                    <w:t>Date:</w:t>
                                  </w:r>
                                </w:p>
                              </w:tc>
                              <w:tc>
                                <w:tcPr>
                                  <w:tcW w:w="1791" w:type="dxa"/>
                                  <w:tcBorders>
                                    <w:left w:val="nil"/>
                                  </w:tcBorders>
                                  <w:vAlign w:val="center"/>
                                </w:tcPr>
                                <w:p w14:paraId="160CD58D" w14:textId="2FF5E018" w:rsidR="00877BF0" w:rsidRPr="00537E9B" w:rsidRDefault="00877BF0" w:rsidP="00221517">
                                  <w:pPr>
                                    <w:spacing w:line="300" w:lineRule="exact"/>
                                    <w:rPr>
                                      <w:rFonts w:eastAsia="新細明體"/>
                                      <w:lang w:eastAsia="zh-TW"/>
                                    </w:rPr>
                                  </w:pPr>
                                  <w:r>
                                    <w:t>28/05/2018</w:t>
                                  </w:r>
                                </w:p>
                              </w:tc>
                            </w:tr>
                          </w:tbl>
                          <w:p w14:paraId="32828B94" w14:textId="77777777" w:rsidR="00877BF0" w:rsidRPr="00B22CCE" w:rsidRDefault="00877BF0" w:rsidP="003E19E7">
                            <w:pPr>
                              <w:spacing w:line="300" w:lineRule="exact"/>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96.45pt;margin-top:42.2pt;width:9.05pt;height:59.1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" filled="f" stroked="f">
                <v:textbox style="mso-fit-shape-to-text:t" inset="0,0,0,0">
                  <w:txbxContent>
                    <w:tbl>
                      <w:tblPr>
                        <w:tblStyle w:val="TableGrid"/>
                        <w:tblW w:w="2835" w:type="dxa"/>
                        <w:tblCellMar>
                          <w:left w:w="0" w:type="dxa"/>
                          <w:right w:w="0" w:type="dxa"/>
                        </w:tblCellMar>
                        <w:tblLook w:val="04A0" w:firstRow="1" w:lastRow="0" w:firstColumn="1" w:lastColumn="0" w:noHBand="0" w:noVBand="1"/>
                      </w:tblPr>
                      <w:tblGrid>
                        <w:gridCol w:w="152"/>
                        <w:gridCol w:w="892"/>
                        <w:gridCol w:w="1791"/>
                      </w:tblGrid>
                      <w:tr w:rsidR="00877BF0" w14:paraId="5ECB7A67" w14:textId="77777777" w:rsidTr="0020437A">
                        <w:trPr>
                          <w:trHeight w:hRule="exact" w:val="586"/>
                        </w:trPr>
                        <w:tc>
                          <w:tcPr>
                            <w:tcW w:w="152" w:type="dxa"/>
                            <w:tcBorders>
                              <w:bottom w:val="nil"/>
                              <w:right w:val="nil"/>
                            </w:tcBorders>
                          </w:tcPr>
                          <w:p w14:paraId="24F1179D" w14:textId="77777777" w:rsidR="00877BF0" w:rsidRPr="00E075A7" w:rsidRDefault="00877BF0" w:rsidP="00E075A7">
                            <w:pPr>
                              <w:spacing w:line="200" w:lineRule="exact"/>
                              <w:rPr>
                                <w:rFonts w:ascii="Microsoft JhengHei Bold" w:eastAsia="Microsoft JhengHei Bold" w:hAnsi="Microsoft JhengHei Bold"/>
                                <w:sz w:val="16"/>
                                <w:szCs w:val="16"/>
                              </w:rPr>
                            </w:pPr>
                          </w:p>
                        </w:tc>
                        <w:tc>
                          <w:tcPr>
                            <w:tcW w:w="892" w:type="dxa"/>
                            <w:tcBorders>
                              <w:left w:val="nil"/>
                              <w:right w:val="nil"/>
                            </w:tcBorders>
                            <w:vAlign w:val="center"/>
                          </w:tcPr>
                          <w:p w14:paraId="5023B73A" w14:textId="77777777" w:rsidR="00877BF0" w:rsidRPr="003F49A4" w:rsidRDefault="00877BF0"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編號</w:t>
                            </w:r>
                            <w:proofErr w:type="spellEnd"/>
                          </w:p>
                          <w:p w14:paraId="05391A12" w14:textId="77777777" w:rsidR="00877BF0" w:rsidRPr="00E075A7" w:rsidRDefault="00877BF0" w:rsidP="0020437A">
                            <w:pPr>
                              <w:spacing w:line="200" w:lineRule="exact"/>
                            </w:pPr>
                            <w:r w:rsidRPr="00E075A7">
                              <w:rPr>
                                <w:rFonts w:eastAsia="Microsoft JhengHei Bold"/>
                                <w:sz w:val="16"/>
                                <w:szCs w:val="16"/>
                              </w:rPr>
                              <w:t>Ref. No.:</w:t>
                            </w:r>
                          </w:p>
                        </w:tc>
                        <w:tc>
                          <w:tcPr>
                            <w:tcW w:w="1791" w:type="dxa"/>
                            <w:tcBorders>
                              <w:left w:val="nil"/>
                            </w:tcBorders>
                            <w:vAlign w:val="center"/>
                          </w:tcPr>
                          <w:p w14:paraId="7AA9CA86" w14:textId="0D2688A4" w:rsidR="00877BF0" w:rsidRDefault="00877BF0" w:rsidP="0020437A">
                            <w:pPr>
                              <w:spacing w:line="300" w:lineRule="exact"/>
                            </w:pPr>
                            <w:r>
                              <w:t>MKD/EQD/</w:t>
                            </w:r>
                            <w:r w:rsidR="00491002">
                              <w:t>16</w:t>
                            </w:r>
                            <w:r>
                              <w:t>/18</w:t>
                            </w:r>
                          </w:p>
                        </w:tc>
                      </w:tr>
                      <w:tr w:rsidR="00877BF0" w14:paraId="056944D6" w14:textId="77777777" w:rsidTr="0020437A">
                        <w:trPr>
                          <w:trHeight w:hRule="exact" w:val="586"/>
                        </w:trPr>
                        <w:tc>
                          <w:tcPr>
                            <w:tcW w:w="152" w:type="dxa"/>
                            <w:tcBorders>
                              <w:top w:val="nil"/>
                              <w:right w:val="nil"/>
                            </w:tcBorders>
                          </w:tcPr>
                          <w:p w14:paraId="3F23A7B2" w14:textId="77777777" w:rsidR="00877BF0" w:rsidRDefault="00877BF0" w:rsidP="00E075A7">
                            <w:pPr>
                              <w:spacing w:line="300" w:lineRule="exact"/>
                            </w:pPr>
                          </w:p>
                        </w:tc>
                        <w:tc>
                          <w:tcPr>
                            <w:tcW w:w="892" w:type="dxa"/>
                            <w:tcBorders>
                              <w:left w:val="nil"/>
                              <w:right w:val="nil"/>
                            </w:tcBorders>
                            <w:vAlign w:val="center"/>
                          </w:tcPr>
                          <w:p w14:paraId="55E52F2E" w14:textId="77777777" w:rsidR="00877BF0" w:rsidRPr="003F49A4" w:rsidRDefault="00877BF0"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日期</w:t>
                            </w:r>
                            <w:proofErr w:type="spellEnd"/>
                          </w:p>
                          <w:p w14:paraId="544FD78B" w14:textId="77777777" w:rsidR="00877BF0" w:rsidRDefault="00877BF0" w:rsidP="0020437A">
                            <w:pPr>
                              <w:spacing w:line="200" w:lineRule="exact"/>
                            </w:pPr>
                            <w:r w:rsidRPr="0020437A">
                              <w:rPr>
                                <w:rFonts w:eastAsia="Microsoft JhengHei Bold"/>
                                <w:sz w:val="16"/>
                                <w:szCs w:val="16"/>
                              </w:rPr>
                              <w:t>Date:</w:t>
                            </w:r>
                          </w:p>
                        </w:tc>
                        <w:tc>
                          <w:tcPr>
                            <w:tcW w:w="1791" w:type="dxa"/>
                            <w:tcBorders>
                              <w:left w:val="nil"/>
                            </w:tcBorders>
                            <w:vAlign w:val="center"/>
                          </w:tcPr>
                          <w:p w14:paraId="160CD58D" w14:textId="2FF5E018" w:rsidR="00877BF0" w:rsidRPr="00537E9B" w:rsidRDefault="00877BF0" w:rsidP="00221517">
                            <w:pPr>
                              <w:spacing w:line="300" w:lineRule="exact"/>
                              <w:rPr>
                                <w:rFonts w:eastAsia="新細明體"/>
                                <w:lang w:eastAsia="zh-TW"/>
                              </w:rPr>
                            </w:pPr>
                            <w:r>
                              <w:t>28/05/2018</w:t>
                            </w:r>
                          </w:p>
                        </w:tc>
                      </w:tr>
                    </w:tbl>
                    <w:p w14:paraId="32828B94" w14:textId="77777777" w:rsidR="00877BF0" w:rsidRPr="00B22CCE" w:rsidRDefault="00877BF0" w:rsidP="003E19E7">
                      <w:pPr>
                        <w:spacing w:line="300" w:lineRule="exact"/>
                      </w:pPr>
                    </w:p>
                  </w:txbxContent>
                </v:textbox>
                <w10:wrap type="through" anchorx="page" anchory="page"/>
              </v:shape>
            </w:pict>
          </mc:Fallback>
        </mc:AlternateContent>
      </w:r>
    </w:p>
    <w:tbl>
      <w:tblPr>
        <w:tblStyle w:val="TableGrid"/>
        <w:tblpPr w:leftFromText="180" w:rightFromText="180" w:horzAnchor="margin" w:tblpY="-40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242"/>
        <w:gridCol w:w="8606"/>
      </w:tblGrid>
      <w:tr w:rsidR="00425E57" w:rsidRPr="006E5273" w14:paraId="332368E6" w14:textId="77777777" w:rsidTr="00E12B44">
        <w:trPr>
          <w:trHeight w:val="340"/>
        </w:trPr>
        <w:tc>
          <w:tcPr>
            <w:tcW w:w="1242" w:type="dxa"/>
          </w:tcPr>
          <w:p w14:paraId="250DBC53" w14:textId="2C8A612A" w:rsidR="00425E57" w:rsidRPr="00D2748A" w:rsidRDefault="00425E57" w:rsidP="00E12B44">
            <w:pPr>
              <w:spacing w:line="360" w:lineRule="auto"/>
              <w:rPr>
                <w:rFonts w:eastAsia="新細明體"/>
                <w:sz w:val="24"/>
                <w:szCs w:val="24"/>
                <w:lang w:eastAsia="zh-TW"/>
              </w:rPr>
            </w:pPr>
          </w:p>
        </w:tc>
        <w:tc>
          <w:tcPr>
            <w:tcW w:w="8606" w:type="dxa"/>
          </w:tcPr>
          <w:p w14:paraId="78F3918B" w14:textId="77777777" w:rsidR="00425E57" w:rsidRPr="00787104" w:rsidRDefault="00425E57" w:rsidP="00E12B44">
            <w:pPr>
              <w:spacing w:line="360" w:lineRule="auto"/>
              <w:rPr>
                <w:rFonts w:eastAsia="新細明體"/>
                <w:sz w:val="22"/>
                <w:szCs w:val="22"/>
                <w:lang w:val="en-GB" w:eastAsia="zh-TW"/>
              </w:rPr>
            </w:pPr>
          </w:p>
        </w:tc>
      </w:tr>
    </w:tbl>
    <w:p w14:paraId="707C0C81" w14:textId="09DD0EDB" w:rsidR="00425E57" w:rsidRPr="00425E57" w:rsidRDefault="00425E57" w:rsidP="00425E57">
      <w:pPr>
        <w:jc w:val="both"/>
        <w:rPr>
          <w:noProof/>
          <w:sz w:val="22"/>
          <w:szCs w:val="22"/>
          <w:lang w:eastAsia="zh-CN"/>
        </w:rPr>
      </w:pPr>
      <w:r w:rsidRPr="00425E57">
        <w:rPr>
          <w:noProof/>
          <w:sz w:val="22"/>
          <w:szCs w:val="22"/>
          <w:lang w:eastAsia="zh-CN"/>
        </w:rPr>
        <w:t>Hong Kong Futures Exchange Limited (</w:t>
      </w:r>
      <w:r w:rsidR="00F42AE4">
        <w:rPr>
          <w:noProof/>
          <w:sz w:val="22"/>
          <w:szCs w:val="22"/>
          <w:lang w:eastAsia="zh-CN"/>
        </w:rPr>
        <w:t>T</w:t>
      </w:r>
      <w:r w:rsidRPr="00425E57">
        <w:rPr>
          <w:noProof/>
          <w:sz w:val="22"/>
          <w:szCs w:val="22"/>
          <w:lang w:eastAsia="zh-CN"/>
        </w:rPr>
        <w:t xml:space="preserve">he Exchange) is pleased to announce that the following stock futures market enhancements will take effect from </w:t>
      </w:r>
      <w:r w:rsidR="00F42AE4">
        <w:rPr>
          <w:b/>
          <w:noProof/>
          <w:sz w:val="22"/>
          <w:szCs w:val="22"/>
          <w:u w:val="single"/>
          <w:lang w:eastAsia="zh-CN"/>
        </w:rPr>
        <w:t>Tue</w:t>
      </w:r>
      <w:r w:rsidR="00F42AE4" w:rsidRPr="00425E57">
        <w:rPr>
          <w:b/>
          <w:noProof/>
          <w:sz w:val="22"/>
          <w:szCs w:val="22"/>
          <w:u w:val="single"/>
          <w:lang w:eastAsia="zh-CN"/>
        </w:rPr>
        <w:t>sday</w:t>
      </w:r>
      <w:r w:rsidRPr="00425E57">
        <w:rPr>
          <w:b/>
          <w:noProof/>
          <w:sz w:val="22"/>
          <w:szCs w:val="22"/>
          <w:u w:val="single"/>
          <w:lang w:eastAsia="zh-CN"/>
        </w:rPr>
        <w:t>, 3 July 2018</w:t>
      </w:r>
      <w:r w:rsidRPr="00425E57">
        <w:rPr>
          <w:b/>
          <w:noProof/>
          <w:sz w:val="22"/>
          <w:szCs w:val="22"/>
          <w:lang w:eastAsia="zh-CN"/>
        </w:rPr>
        <w:t xml:space="preserve"> (Effective Date)</w:t>
      </w:r>
      <w:r w:rsidRPr="00425E57">
        <w:rPr>
          <w:noProof/>
          <w:sz w:val="22"/>
          <w:szCs w:val="22"/>
          <w:lang w:eastAsia="zh-CN"/>
        </w:rPr>
        <w:t>:</w:t>
      </w:r>
    </w:p>
    <w:p w14:paraId="61F89F9B" w14:textId="77777777" w:rsidR="00425E57" w:rsidRPr="00425E57" w:rsidRDefault="00425E57" w:rsidP="00425E57">
      <w:pPr>
        <w:jc w:val="both"/>
        <w:rPr>
          <w:noProof/>
          <w:sz w:val="22"/>
          <w:szCs w:val="22"/>
          <w:lang w:eastAsia="zh-CN"/>
        </w:rPr>
      </w:pPr>
    </w:p>
    <w:p w14:paraId="1A0FE8FC" w14:textId="77777777" w:rsidR="00425E57" w:rsidRPr="00425E57" w:rsidRDefault="00425E57" w:rsidP="00425E57">
      <w:pPr>
        <w:pStyle w:val="ListParagraph"/>
        <w:numPr>
          <w:ilvl w:val="0"/>
          <w:numId w:val="1"/>
        </w:numPr>
        <w:ind w:leftChars="0"/>
        <w:jc w:val="both"/>
        <w:rPr>
          <w:rFonts w:ascii="Arial" w:hAnsi="Arial" w:cs="Arial"/>
          <w:b/>
          <w:sz w:val="22"/>
          <w:szCs w:val="22"/>
        </w:rPr>
      </w:pPr>
      <w:r w:rsidRPr="00425E57">
        <w:rPr>
          <w:rFonts w:ascii="Arial" w:hAnsi="Arial" w:cs="Arial"/>
          <w:b/>
          <w:sz w:val="22"/>
          <w:szCs w:val="22"/>
        </w:rPr>
        <w:t>Introduction of a New Trading Fee Structure</w:t>
      </w:r>
    </w:p>
    <w:p w14:paraId="6F69BFB2" w14:textId="77777777" w:rsidR="00425E57" w:rsidRPr="00425E57" w:rsidRDefault="00425E57" w:rsidP="00425E57">
      <w:pPr>
        <w:pStyle w:val="ListParagraph"/>
        <w:widowControl/>
        <w:ind w:leftChars="0" w:left="840"/>
        <w:jc w:val="both"/>
        <w:rPr>
          <w:rFonts w:ascii="Arial" w:hAnsi="Arial" w:cs="Arial"/>
          <w:sz w:val="22"/>
          <w:szCs w:val="22"/>
        </w:rPr>
      </w:pPr>
    </w:p>
    <w:p w14:paraId="46EBF9B0" w14:textId="77777777"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 xml:space="preserve">A new 3-Tier </w:t>
      </w:r>
      <w:r w:rsidRPr="00425E57">
        <w:rPr>
          <w:rFonts w:ascii="Arial" w:hAnsi="Arial" w:cs="Arial" w:hint="eastAsia"/>
          <w:sz w:val="22"/>
          <w:szCs w:val="22"/>
        </w:rPr>
        <w:t>t</w:t>
      </w:r>
      <w:r w:rsidRPr="00425E57">
        <w:rPr>
          <w:rFonts w:ascii="Arial" w:hAnsi="Arial" w:cs="Arial"/>
          <w:sz w:val="22"/>
          <w:szCs w:val="22"/>
        </w:rPr>
        <w:t xml:space="preserve">rading fee structure will be introduced to reduce the transaction cost in trading stock futures:  </w:t>
      </w:r>
    </w:p>
    <w:p w14:paraId="65D6AFAC" w14:textId="77777777" w:rsidR="00425E57" w:rsidRPr="00425E57" w:rsidRDefault="00425E57" w:rsidP="00425E57">
      <w:pPr>
        <w:rPr>
          <w:sz w:val="22"/>
          <w:szCs w:val="22"/>
        </w:rPr>
      </w:pPr>
    </w:p>
    <w:tbl>
      <w:tblPr>
        <w:tblStyle w:val="TableGrid"/>
        <w:tblW w:w="9073" w:type="dxa"/>
        <w:tblInd w:w="595" w:type="dxa"/>
        <w:tblLayout w:type="fixed"/>
        <w:tblCellMar>
          <w:left w:w="28" w:type="dxa"/>
          <w:right w:w="28" w:type="dxa"/>
        </w:tblCellMar>
        <w:tblLook w:val="04A0" w:firstRow="1" w:lastRow="0" w:firstColumn="1" w:lastColumn="0" w:noHBand="0" w:noVBand="1"/>
      </w:tblPr>
      <w:tblGrid>
        <w:gridCol w:w="567"/>
        <w:gridCol w:w="2127"/>
        <w:gridCol w:w="1701"/>
        <w:gridCol w:w="1134"/>
        <w:gridCol w:w="1701"/>
        <w:gridCol w:w="1843"/>
      </w:tblGrid>
      <w:tr w:rsidR="00425E57" w:rsidRPr="00425E57" w14:paraId="35741BBD" w14:textId="77777777" w:rsidTr="0038097B">
        <w:trPr>
          <w:trHeight w:val="328"/>
        </w:trPr>
        <w:tc>
          <w:tcPr>
            <w:tcW w:w="567" w:type="dxa"/>
            <w:vMerge w:val="restart"/>
            <w:shd w:val="clear" w:color="auto" w:fill="DAEEF3" w:themeFill="accent5" w:themeFillTint="33"/>
          </w:tcPr>
          <w:p w14:paraId="781E5869" w14:textId="77777777" w:rsidR="00425E57" w:rsidRPr="00425E57" w:rsidRDefault="00425E57" w:rsidP="00E12B44">
            <w:pPr>
              <w:jc w:val="center"/>
              <w:rPr>
                <w:sz w:val="22"/>
                <w:szCs w:val="22"/>
                <w:lang w:eastAsia="zh-HK"/>
              </w:rPr>
            </w:pPr>
            <w:r w:rsidRPr="00425E57">
              <w:rPr>
                <w:sz w:val="22"/>
                <w:szCs w:val="22"/>
                <w:lang w:eastAsia="zh-HK"/>
              </w:rPr>
              <w:t>Tier</w:t>
            </w:r>
          </w:p>
          <w:p w14:paraId="3F32A8CF" w14:textId="77777777" w:rsidR="00425E57" w:rsidRPr="00425E57" w:rsidRDefault="00425E57" w:rsidP="00E12B44">
            <w:pPr>
              <w:jc w:val="center"/>
              <w:rPr>
                <w:sz w:val="22"/>
                <w:szCs w:val="22"/>
                <w:lang w:eastAsia="zh-HK"/>
              </w:rPr>
            </w:pPr>
          </w:p>
        </w:tc>
        <w:tc>
          <w:tcPr>
            <w:tcW w:w="2127" w:type="dxa"/>
            <w:vMerge w:val="restart"/>
            <w:shd w:val="clear" w:color="auto" w:fill="DAEEF3" w:themeFill="accent5" w:themeFillTint="33"/>
          </w:tcPr>
          <w:p w14:paraId="1582DFFF" w14:textId="77777777" w:rsidR="00425E57" w:rsidRPr="00425E57" w:rsidRDefault="00425E57" w:rsidP="00E12B44">
            <w:pPr>
              <w:rPr>
                <w:sz w:val="22"/>
                <w:szCs w:val="22"/>
                <w:lang w:eastAsia="zh-HK"/>
              </w:rPr>
            </w:pPr>
            <w:r w:rsidRPr="00425E57">
              <w:rPr>
                <w:sz w:val="22"/>
                <w:szCs w:val="22"/>
                <w:lang w:eastAsia="zh-HK"/>
              </w:rPr>
              <w:t>Nominal Value Per Contract (in HK$)</w:t>
            </w:r>
          </w:p>
        </w:tc>
        <w:tc>
          <w:tcPr>
            <w:tcW w:w="2835" w:type="dxa"/>
            <w:gridSpan w:val="2"/>
            <w:shd w:val="clear" w:color="auto" w:fill="DAEEF3" w:themeFill="accent5" w:themeFillTint="33"/>
          </w:tcPr>
          <w:p w14:paraId="58D80876" w14:textId="3BB4073A" w:rsidR="00425E57" w:rsidRPr="00425E57" w:rsidRDefault="00425E57" w:rsidP="00E12B44">
            <w:pPr>
              <w:jc w:val="center"/>
              <w:rPr>
                <w:sz w:val="22"/>
                <w:szCs w:val="22"/>
              </w:rPr>
            </w:pPr>
            <w:r w:rsidRPr="00425E57">
              <w:rPr>
                <w:sz w:val="22"/>
                <w:szCs w:val="22"/>
                <w:lang w:eastAsia="zh-HK"/>
              </w:rPr>
              <w:t xml:space="preserve">Existing </w:t>
            </w:r>
            <w:r w:rsidR="00664B86" w:rsidRPr="00664B86">
              <w:rPr>
                <w:sz w:val="22"/>
                <w:szCs w:val="22"/>
                <w:lang w:eastAsia="zh-HK"/>
              </w:rPr>
              <w:t>Trading Fee Per Contract (in HK$)</w:t>
            </w:r>
          </w:p>
        </w:tc>
        <w:tc>
          <w:tcPr>
            <w:tcW w:w="3544" w:type="dxa"/>
            <w:gridSpan w:val="2"/>
            <w:shd w:val="clear" w:color="auto" w:fill="DAEEF3" w:themeFill="accent5" w:themeFillTint="33"/>
          </w:tcPr>
          <w:p w14:paraId="02402726" w14:textId="77777777" w:rsidR="00664B86" w:rsidRDefault="00425E57" w:rsidP="00E12B44">
            <w:pPr>
              <w:jc w:val="center"/>
              <w:rPr>
                <w:sz w:val="22"/>
                <w:szCs w:val="22"/>
                <w:lang w:eastAsia="zh-HK"/>
              </w:rPr>
            </w:pPr>
            <w:r w:rsidRPr="00425E57">
              <w:rPr>
                <w:sz w:val="22"/>
                <w:szCs w:val="22"/>
                <w:lang w:eastAsia="zh-HK"/>
              </w:rPr>
              <w:t xml:space="preserve">New </w:t>
            </w:r>
            <w:r w:rsidR="00664B86" w:rsidRPr="00664B86">
              <w:rPr>
                <w:sz w:val="22"/>
                <w:szCs w:val="22"/>
                <w:lang w:eastAsia="zh-HK"/>
              </w:rPr>
              <w:t xml:space="preserve">Trading Fee Per Contract </w:t>
            </w:r>
          </w:p>
          <w:p w14:paraId="72C97400" w14:textId="722A8EDB" w:rsidR="00425E57" w:rsidRPr="00425E57" w:rsidRDefault="00664B86" w:rsidP="00E12B44">
            <w:pPr>
              <w:jc w:val="center"/>
              <w:rPr>
                <w:sz w:val="22"/>
                <w:szCs w:val="22"/>
              </w:rPr>
            </w:pPr>
            <w:r w:rsidRPr="00664B86">
              <w:rPr>
                <w:sz w:val="22"/>
                <w:szCs w:val="22"/>
                <w:lang w:eastAsia="zh-HK"/>
              </w:rPr>
              <w:t>(in HK$)</w:t>
            </w:r>
          </w:p>
        </w:tc>
      </w:tr>
      <w:tr w:rsidR="00425E57" w:rsidRPr="00425E57" w14:paraId="3289A059" w14:textId="77777777" w:rsidTr="0038097B">
        <w:trPr>
          <w:trHeight w:val="523"/>
        </w:trPr>
        <w:tc>
          <w:tcPr>
            <w:tcW w:w="567" w:type="dxa"/>
            <w:vMerge/>
            <w:shd w:val="clear" w:color="auto" w:fill="DAEEF3" w:themeFill="accent5" w:themeFillTint="33"/>
          </w:tcPr>
          <w:p w14:paraId="4258DF2D" w14:textId="77777777" w:rsidR="00425E57" w:rsidRPr="00425E57" w:rsidRDefault="00425E57" w:rsidP="00E12B44">
            <w:pPr>
              <w:jc w:val="center"/>
              <w:rPr>
                <w:sz w:val="22"/>
                <w:szCs w:val="22"/>
                <w:lang w:eastAsia="zh-HK"/>
              </w:rPr>
            </w:pPr>
          </w:p>
        </w:tc>
        <w:tc>
          <w:tcPr>
            <w:tcW w:w="2127" w:type="dxa"/>
            <w:vMerge/>
            <w:shd w:val="clear" w:color="auto" w:fill="DAEEF3" w:themeFill="accent5" w:themeFillTint="33"/>
          </w:tcPr>
          <w:p w14:paraId="6676A00E" w14:textId="77777777" w:rsidR="00425E57" w:rsidRPr="00425E57" w:rsidRDefault="00425E57" w:rsidP="00E12B44">
            <w:pPr>
              <w:rPr>
                <w:sz w:val="22"/>
                <w:szCs w:val="22"/>
              </w:rPr>
            </w:pPr>
          </w:p>
        </w:tc>
        <w:tc>
          <w:tcPr>
            <w:tcW w:w="1701" w:type="dxa"/>
            <w:shd w:val="clear" w:color="auto" w:fill="DAEEF3" w:themeFill="accent5" w:themeFillTint="33"/>
          </w:tcPr>
          <w:p w14:paraId="6FE729B3" w14:textId="77777777" w:rsidR="00425E57" w:rsidRPr="00425E57" w:rsidRDefault="00425E57" w:rsidP="00E12B44">
            <w:pPr>
              <w:jc w:val="center"/>
              <w:rPr>
                <w:sz w:val="22"/>
                <w:szCs w:val="22"/>
              </w:rPr>
            </w:pPr>
            <w:r w:rsidRPr="00425E57">
              <w:rPr>
                <w:sz w:val="22"/>
                <w:szCs w:val="22"/>
              </w:rPr>
              <w:t>Standard</w:t>
            </w:r>
          </w:p>
          <w:p w14:paraId="1237B875" w14:textId="77777777" w:rsidR="00425E57" w:rsidRPr="00425E57" w:rsidRDefault="00425E57" w:rsidP="00E12B44">
            <w:pPr>
              <w:jc w:val="center"/>
              <w:rPr>
                <w:sz w:val="22"/>
                <w:szCs w:val="22"/>
              </w:rPr>
            </w:pPr>
            <w:r w:rsidRPr="00425E57">
              <w:rPr>
                <w:sz w:val="22"/>
                <w:szCs w:val="22"/>
              </w:rPr>
              <w:t>(House / Client)</w:t>
            </w:r>
          </w:p>
        </w:tc>
        <w:tc>
          <w:tcPr>
            <w:tcW w:w="1134" w:type="dxa"/>
            <w:shd w:val="clear" w:color="auto" w:fill="DAEEF3" w:themeFill="accent5" w:themeFillTint="33"/>
          </w:tcPr>
          <w:p w14:paraId="7EAC20B7" w14:textId="77777777" w:rsidR="00425E57" w:rsidRPr="00425E57" w:rsidRDefault="00425E57" w:rsidP="00E12B44">
            <w:pPr>
              <w:jc w:val="center"/>
              <w:rPr>
                <w:sz w:val="22"/>
                <w:szCs w:val="22"/>
              </w:rPr>
            </w:pPr>
            <w:r w:rsidRPr="00425E57">
              <w:rPr>
                <w:sz w:val="22"/>
                <w:szCs w:val="22"/>
              </w:rPr>
              <w:t>Market Maker</w:t>
            </w:r>
          </w:p>
        </w:tc>
        <w:tc>
          <w:tcPr>
            <w:tcW w:w="1701" w:type="dxa"/>
            <w:shd w:val="clear" w:color="auto" w:fill="DAEEF3" w:themeFill="accent5" w:themeFillTint="33"/>
          </w:tcPr>
          <w:p w14:paraId="2C6FFFDF" w14:textId="77777777" w:rsidR="00425E57" w:rsidRPr="00425E57" w:rsidRDefault="00425E57" w:rsidP="00E12B44">
            <w:pPr>
              <w:jc w:val="center"/>
              <w:rPr>
                <w:sz w:val="22"/>
                <w:szCs w:val="22"/>
              </w:rPr>
            </w:pPr>
            <w:r w:rsidRPr="00425E57">
              <w:rPr>
                <w:sz w:val="22"/>
                <w:szCs w:val="22"/>
              </w:rPr>
              <w:t>Standard</w:t>
            </w:r>
          </w:p>
          <w:p w14:paraId="5FB7DD5C" w14:textId="77777777" w:rsidR="00425E57" w:rsidRPr="00425E57" w:rsidRDefault="00425E57" w:rsidP="00E12B44">
            <w:pPr>
              <w:jc w:val="center"/>
              <w:rPr>
                <w:sz w:val="22"/>
                <w:szCs w:val="22"/>
              </w:rPr>
            </w:pPr>
            <w:r w:rsidRPr="00425E57">
              <w:rPr>
                <w:sz w:val="22"/>
                <w:szCs w:val="22"/>
              </w:rPr>
              <w:t>(House / Client)</w:t>
            </w:r>
          </w:p>
        </w:tc>
        <w:tc>
          <w:tcPr>
            <w:tcW w:w="1843" w:type="dxa"/>
            <w:shd w:val="clear" w:color="auto" w:fill="DAEEF3" w:themeFill="accent5" w:themeFillTint="33"/>
          </w:tcPr>
          <w:p w14:paraId="2BB3F9F9" w14:textId="2F537C5B" w:rsidR="00425E57" w:rsidRPr="00425E57" w:rsidRDefault="00425E57" w:rsidP="00B7196D">
            <w:pPr>
              <w:jc w:val="center"/>
              <w:rPr>
                <w:sz w:val="22"/>
                <w:szCs w:val="22"/>
              </w:rPr>
            </w:pPr>
            <w:r w:rsidRPr="00425E57">
              <w:rPr>
                <w:sz w:val="22"/>
                <w:szCs w:val="22"/>
              </w:rPr>
              <w:t>Market Maker</w:t>
            </w:r>
          </w:p>
        </w:tc>
      </w:tr>
      <w:tr w:rsidR="00425E57" w:rsidRPr="00425E57" w14:paraId="643E2790" w14:textId="77777777" w:rsidTr="00E12B44">
        <w:trPr>
          <w:trHeight w:val="323"/>
        </w:trPr>
        <w:tc>
          <w:tcPr>
            <w:tcW w:w="567" w:type="dxa"/>
            <w:vAlign w:val="center"/>
          </w:tcPr>
          <w:p w14:paraId="64D93678" w14:textId="77777777" w:rsidR="00425E57" w:rsidRPr="00425E57" w:rsidRDefault="00425E57" w:rsidP="00E12B44">
            <w:pPr>
              <w:jc w:val="center"/>
              <w:rPr>
                <w:sz w:val="22"/>
                <w:szCs w:val="22"/>
                <w:lang w:eastAsia="zh-HK"/>
              </w:rPr>
            </w:pPr>
            <w:r w:rsidRPr="00425E57">
              <w:rPr>
                <w:sz w:val="22"/>
                <w:szCs w:val="22"/>
                <w:lang w:eastAsia="zh-HK"/>
              </w:rPr>
              <w:t>1</w:t>
            </w:r>
          </w:p>
        </w:tc>
        <w:tc>
          <w:tcPr>
            <w:tcW w:w="2127" w:type="dxa"/>
            <w:vAlign w:val="center"/>
          </w:tcPr>
          <w:p w14:paraId="7C0B8603" w14:textId="77777777" w:rsidR="00425E57" w:rsidRPr="00425E57" w:rsidRDefault="00425E57" w:rsidP="00E12B44">
            <w:pPr>
              <w:rPr>
                <w:sz w:val="22"/>
                <w:szCs w:val="22"/>
              </w:rPr>
            </w:pPr>
            <w:r w:rsidRPr="00425E57">
              <w:rPr>
                <w:sz w:val="22"/>
                <w:szCs w:val="22"/>
                <w:lang w:eastAsia="zh-HK"/>
              </w:rPr>
              <w:t>&gt;$25,000</w:t>
            </w:r>
          </w:p>
        </w:tc>
        <w:tc>
          <w:tcPr>
            <w:tcW w:w="1701" w:type="dxa"/>
            <w:vMerge w:val="restart"/>
            <w:vAlign w:val="center"/>
          </w:tcPr>
          <w:p w14:paraId="61211AEC" w14:textId="76E1B169" w:rsidR="00425E57" w:rsidRPr="00425E57" w:rsidRDefault="00425E57" w:rsidP="00E12B44">
            <w:pPr>
              <w:jc w:val="center"/>
              <w:rPr>
                <w:sz w:val="22"/>
                <w:szCs w:val="22"/>
              </w:rPr>
            </w:pPr>
            <w:r w:rsidRPr="00425E57">
              <w:rPr>
                <w:sz w:val="22"/>
                <w:szCs w:val="22"/>
              </w:rPr>
              <w:t>$3.5</w:t>
            </w:r>
            <w:r w:rsidR="00F42AE4">
              <w:rPr>
                <w:sz w:val="22"/>
                <w:szCs w:val="22"/>
              </w:rPr>
              <w:t>0</w:t>
            </w:r>
          </w:p>
        </w:tc>
        <w:tc>
          <w:tcPr>
            <w:tcW w:w="1134" w:type="dxa"/>
            <w:vMerge w:val="restart"/>
            <w:vAlign w:val="center"/>
          </w:tcPr>
          <w:p w14:paraId="4E12B6E9" w14:textId="4B5FF078" w:rsidR="00425E57" w:rsidRPr="00425E57" w:rsidRDefault="00425E57" w:rsidP="00E12B44">
            <w:pPr>
              <w:jc w:val="center"/>
              <w:rPr>
                <w:sz w:val="22"/>
                <w:szCs w:val="22"/>
              </w:rPr>
            </w:pPr>
            <w:r w:rsidRPr="00425E57">
              <w:rPr>
                <w:sz w:val="22"/>
                <w:szCs w:val="22"/>
              </w:rPr>
              <w:t>$0.5</w:t>
            </w:r>
            <w:r w:rsidR="00F42AE4">
              <w:rPr>
                <w:sz w:val="22"/>
                <w:szCs w:val="22"/>
              </w:rPr>
              <w:t>0</w:t>
            </w:r>
          </w:p>
        </w:tc>
        <w:tc>
          <w:tcPr>
            <w:tcW w:w="1701" w:type="dxa"/>
            <w:vAlign w:val="center"/>
          </w:tcPr>
          <w:p w14:paraId="3EFFE70E" w14:textId="77777777" w:rsidR="00425E57" w:rsidRPr="00425E57" w:rsidRDefault="00425E57" w:rsidP="00E12B44">
            <w:pPr>
              <w:jc w:val="center"/>
              <w:rPr>
                <w:sz w:val="22"/>
                <w:szCs w:val="22"/>
              </w:rPr>
            </w:pPr>
            <w:r w:rsidRPr="00425E57">
              <w:rPr>
                <w:sz w:val="22"/>
                <w:szCs w:val="22"/>
              </w:rPr>
              <w:t>$3.00</w:t>
            </w:r>
          </w:p>
        </w:tc>
        <w:tc>
          <w:tcPr>
            <w:tcW w:w="1843" w:type="dxa"/>
            <w:vAlign w:val="center"/>
          </w:tcPr>
          <w:p w14:paraId="7A4FD8D4" w14:textId="77777777" w:rsidR="00425E57" w:rsidRPr="00425E57" w:rsidRDefault="00425E57" w:rsidP="00E12B44">
            <w:pPr>
              <w:jc w:val="center"/>
              <w:rPr>
                <w:sz w:val="22"/>
                <w:szCs w:val="22"/>
              </w:rPr>
            </w:pPr>
            <w:r w:rsidRPr="00425E57">
              <w:rPr>
                <w:sz w:val="22"/>
                <w:szCs w:val="22"/>
              </w:rPr>
              <w:t>$0.50</w:t>
            </w:r>
          </w:p>
        </w:tc>
      </w:tr>
      <w:tr w:rsidR="00425E57" w:rsidRPr="00425E57" w14:paraId="1F3D443A" w14:textId="77777777" w:rsidTr="00E12B44">
        <w:trPr>
          <w:trHeight w:val="285"/>
        </w:trPr>
        <w:tc>
          <w:tcPr>
            <w:tcW w:w="567" w:type="dxa"/>
            <w:vAlign w:val="center"/>
          </w:tcPr>
          <w:p w14:paraId="3F80A464" w14:textId="77777777" w:rsidR="00425E57" w:rsidRPr="00425E57" w:rsidRDefault="00425E57" w:rsidP="00E12B44">
            <w:pPr>
              <w:tabs>
                <w:tab w:val="num" w:pos="993"/>
              </w:tabs>
              <w:adjustRightInd w:val="0"/>
              <w:snapToGrid w:val="0"/>
              <w:ind w:firstLine="20"/>
              <w:jc w:val="center"/>
              <w:rPr>
                <w:sz w:val="22"/>
                <w:szCs w:val="22"/>
                <w:lang w:eastAsia="zh-HK"/>
              </w:rPr>
            </w:pPr>
            <w:r w:rsidRPr="00425E57">
              <w:rPr>
                <w:sz w:val="22"/>
                <w:szCs w:val="22"/>
                <w:lang w:eastAsia="zh-HK"/>
              </w:rPr>
              <w:t>2</w:t>
            </w:r>
          </w:p>
        </w:tc>
        <w:tc>
          <w:tcPr>
            <w:tcW w:w="2127" w:type="dxa"/>
            <w:vAlign w:val="center"/>
          </w:tcPr>
          <w:p w14:paraId="452F6B71" w14:textId="77777777" w:rsidR="00425E57" w:rsidRPr="00425E57" w:rsidRDefault="00425E57" w:rsidP="00E12B44">
            <w:pPr>
              <w:tabs>
                <w:tab w:val="num" w:pos="993"/>
              </w:tabs>
              <w:adjustRightInd w:val="0"/>
              <w:snapToGrid w:val="0"/>
              <w:ind w:firstLine="20"/>
              <w:rPr>
                <w:sz w:val="22"/>
                <w:szCs w:val="22"/>
              </w:rPr>
            </w:pPr>
            <w:r w:rsidRPr="00425E57">
              <w:rPr>
                <w:sz w:val="22"/>
                <w:szCs w:val="22"/>
                <w:lang w:eastAsia="zh-HK"/>
              </w:rPr>
              <w:t>&gt;$10,000 – $25,000</w:t>
            </w:r>
          </w:p>
        </w:tc>
        <w:tc>
          <w:tcPr>
            <w:tcW w:w="1701" w:type="dxa"/>
            <w:vMerge/>
          </w:tcPr>
          <w:p w14:paraId="4739A318" w14:textId="77777777" w:rsidR="00425E57" w:rsidRPr="00425E57" w:rsidRDefault="00425E57" w:rsidP="00E12B44">
            <w:pPr>
              <w:jc w:val="center"/>
              <w:rPr>
                <w:sz w:val="22"/>
                <w:szCs w:val="22"/>
              </w:rPr>
            </w:pPr>
          </w:p>
        </w:tc>
        <w:tc>
          <w:tcPr>
            <w:tcW w:w="1134" w:type="dxa"/>
            <w:vMerge/>
          </w:tcPr>
          <w:p w14:paraId="0932AFC8" w14:textId="77777777" w:rsidR="00425E57" w:rsidRPr="00425E57" w:rsidRDefault="00425E57" w:rsidP="00E12B44">
            <w:pPr>
              <w:jc w:val="center"/>
              <w:rPr>
                <w:sz w:val="22"/>
                <w:szCs w:val="22"/>
              </w:rPr>
            </w:pPr>
          </w:p>
        </w:tc>
        <w:tc>
          <w:tcPr>
            <w:tcW w:w="1701" w:type="dxa"/>
            <w:vAlign w:val="center"/>
          </w:tcPr>
          <w:p w14:paraId="788E39E2" w14:textId="77777777" w:rsidR="00425E57" w:rsidRPr="00425E57" w:rsidRDefault="00425E57" w:rsidP="00E12B44">
            <w:pPr>
              <w:jc w:val="center"/>
              <w:rPr>
                <w:sz w:val="22"/>
                <w:szCs w:val="22"/>
              </w:rPr>
            </w:pPr>
            <w:r w:rsidRPr="00425E57">
              <w:rPr>
                <w:sz w:val="22"/>
                <w:szCs w:val="22"/>
              </w:rPr>
              <w:t>$1.00</w:t>
            </w:r>
          </w:p>
        </w:tc>
        <w:tc>
          <w:tcPr>
            <w:tcW w:w="1843" w:type="dxa"/>
            <w:vAlign w:val="center"/>
          </w:tcPr>
          <w:p w14:paraId="034F9615" w14:textId="77777777" w:rsidR="00425E57" w:rsidRPr="00425E57" w:rsidRDefault="00425E57" w:rsidP="00E12B44">
            <w:pPr>
              <w:jc w:val="center"/>
              <w:rPr>
                <w:sz w:val="22"/>
                <w:szCs w:val="22"/>
              </w:rPr>
            </w:pPr>
            <w:r w:rsidRPr="00425E57">
              <w:rPr>
                <w:sz w:val="22"/>
                <w:szCs w:val="22"/>
              </w:rPr>
              <w:t>$0.15</w:t>
            </w:r>
          </w:p>
        </w:tc>
      </w:tr>
      <w:tr w:rsidR="00425E57" w:rsidRPr="00425E57" w14:paraId="278DB6C7" w14:textId="77777777" w:rsidTr="00E12B44">
        <w:trPr>
          <w:trHeight w:val="261"/>
        </w:trPr>
        <w:tc>
          <w:tcPr>
            <w:tcW w:w="567" w:type="dxa"/>
            <w:vAlign w:val="center"/>
          </w:tcPr>
          <w:p w14:paraId="0C6F1914" w14:textId="77777777" w:rsidR="00425E57" w:rsidRPr="00425E57" w:rsidRDefault="00425E57" w:rsidP="00E12B44">
            <w:pPr>
              <w:jc w:val="center"/>
              <w:rPr>
                <w:sz w:val="22"/>
                <w:szCs w:val="22"/>
                <w:lang w:eastAsia="zh-HK"/>
              </w:rPr>
            </w:pPr>
            <w:r w:rsidRPr="00425E57">
              <w:rPr>
                <w:sz w:val="22"/>
                <w:szCs w:val="22"/>
                <w:lang w:eastAsia="zh-HK"/>
              </w:rPr>
              <w:t>3</w:t>
            </w:r>
          </w:p>
        </w:tc>
        <w:tc>
          <w:tcPr>
            <w:tcW w:w="2127" w:type="dxa"/>
            <w:vAlign w:val="center"/>
          </w:tcPr>
          <w:p w14:paraId="1D21BAA2" w14:textId="77777777" w:rsidR="00425E57" w:rsidRPr="00425E57" w:rsidRDefault="00425E57" w:rsidP="00E12B44">
            <w:pPr>
              <w:rPr>
                <w:sz w:val="22"/>
                <w:szCs w:val="22"/>
              </w:rPr>
            </w:pPr>
            <w:r w:rsidRPr="00425E57">
              <w:rPr>
                <w:sz w:val="22"/>
                <w:szCs w:val="22"/>
                <w:lang w:eastAsia="zh-HK"/>
              </w:rPr>
              <w:sym w:font="Symbol" w:char="F0A3"/>
            </w:r>
            <w:r w:rsidRPr="00425E57">
              <w:rPr>
                <w:sz w:val="22"/>
                <w:szCs w:val="22"/>
                <w:lang w:eastAsia="zh-HK"/>
              </w:rPr>
              <w:t xml:space="preserve"> $10,000</w:t>
            </w:r>
          </w:p>
        </w:tc>
        <w:tc>
          <w:tcPr>
            <w:tcW w:w="1701" w:type="dxa"/>
            <w:vMerge/>
          </w:tcPr>
          <w:p w14:paraId="32018C54" w14:textId="77777777" w:rsidR="00425E57" w:rsidRPr="00425E57" w:rsidRDefault="00425E57" w:rsidP="00E12B44">
            <w:pPr>
              <w:jc w:val="center"/>
              <w:rPr>
                <w:sz w:val="22"/>
                <w:szCs w:val="22"/>
              </w:rPr>
            </w:pPr>
          </w:p>
        </w:tc>
        <w:tc>
          <w:tcPr>
            <w:tcW w:w="1134" w:type="dxa"/>
            <w:vMerge/>
          </w:tcPr>
          <w:p w14:paraId="00714431" w14:textId="77777777" w:rsidR="00425E57" w:rsidRPr="00425E57" w:rsidRDefault="00425E57" w:rsidP="00E12B44">
            <w:pPr>
              <w:jc w:val="center"/>
              <w:rPr>
                <w:sz w:val="22"/>
                <w:szCs w:val="22"/>
              </w:rPr>
            </w:pPr>
          </w:p>
        </w:tc>
        <w:tc>
          <w:tcPr>
            <w:tcW w:w="1701" w:type="dxa"/>
            <w:vAlign w:val="center"/>
          </w:tcPr>
          <w:p w14:paraId="1451BED4" w14:textId="77777777" w:rsidR="00425E57" w:rsidRPr="00425E57" w:rsidRDefault="00425E57" w:rsidP="00E12B44">
            <w:pPr>
              <w:jc w:val="center"/>
              <w:rPr>
                <w:sz w:val="22"/>
                <w:szCs w:val="22"/>
              </w:rPr>
            </w:pPr>
            <w:r w:rsidRPr="00425E57">
              <w:rPr>
                <w:sz w:val="22"/>
                <w:szCs w:val="22"/>
              </w:rPr>
              <w:t>$0.50</w:t>
            </w:r>
          </w:p>
        </w:tc>
        <w:tc>
          <w:tcPr>
            <w:tcW w:w="1843" w:type="dxa"/>
            <w:vAlign w:val="center"/>
          </w:tcPr>
          <w:p w14:paraId="1F12993F" w14:textId="77777777" w:rsidR="00425E57" w:rsidRPr="00425E57" w:rsidRDefault="00425E57" w:rsidP="00E12B44">
            <w:pPr>
              <w:jc w:val="center"/>
              <w:rPr>
                <w:sz w:val="22"/>
                <w:szCs w:val="22"/>
              </w:rPr>
            </w:pPr>
            <w:r w:rsidRPr="00425E57">
              <w:rPr>
                <w:sz w:val="22"/>
                <w:szCs w:val="22"/>
              </w:rPr>
              <w:t>$0.07</w:t>
            </w:r>
          </w:p>
        </w:tc>
      </w:tr>
    </w:tbl>
    <w:p w14:paraId="02A9CAEC" w14:textId="77777777" w:rsidR="00425E57" w:rsidRPr="00425E57" w:rsidRDefault="00425E57" w:rsidP="00425E57">
      <w:pPr>
        <w:snapToGrid w:val="0"/>
        <w:ind w:left="480" w:right="-113"/>
        <w:jc w:val="both"/>
        <w:rPr>
          <w:rFonts w:eastAsia="新細明體"/>
          <w:kern w:val="2"/>
          <w:sz w:val="22"/>
          <w:szCs w:val="22"/>
          <w:lang w:eastAsia="zh-TW"/>
        </w:rPr>
      </w:pPr>
    </w:p>
    <w:p w14:paraId="46DA7AAA" w14:textId="008F9DE3" w:rsidR="00425E57" w:rsidRPr="00425E57" w:rsidRDefault="00425E57" w:rsidP="00425E57">
      <w:pPr>
        <w:snapToGrid w:val="0"/>
        <w:ind w:left="480" w:right="-113"/>
        <w:jc w:val="both"/>
        <w:rPr>
          <w:rFonts w:eastAsia="新細明體"/>
          <w:kern w:val="2"/>
          <w:sz w:val="22"/>
          <w:szCs w:val="22"/>
          <w:lang w:eastAsia="zh-TW"/>
        </w:rPr>
      </w:pPr>
      <w:r w:rsidRPr="00425E57">
        <w:rPr>
          <w:rFonts w:eastAsia="新細明體"/>
          <w:kern w:val="2"/>
          <w:sz w:val="22"/>
          <w:szCs w:val="22"/>
          <w:lang w:eastAsia="zh-TW"/>
        </w:rPr>
        <w:t>The full list of the stock futures and the new tier levels are specified in Attachment I.</w:t>
      </w:r>
    </w:p>
    <w:p w14:paraId="46A0B36C" w14:textId="77777777" w:rsidR="00425E57" w:rsidRPr="00425E57" w:rsidRDefault="00425E57" w:rsidP="00425E57">
      <w:pPr>
        <w:snapToGrid w:val="0"/>
        <w:ind w:left="480" w:right="-113"/>
        <w:jc w:val="both"/>
        <w:rPr>
          <w:sz w:val="22"/>
          <w:szCs w:val="22"/>
          <w:highlight w:val="yellow"/>
        </w:rPr>
      </w:pPr>
      <w:r w:rsidRPr="00425E57">
        <w:rPr>
          <w:rFonts w:eastAsia="新細明體"/>
          <w:kern w:val="2"/>
          <w:sz w:val="22"/>
          <w:szCs w:val="22"/>
          <w:lang w:eastAsia="zh-TW"/>
        </w:rPr>
        <w:t xml:space="preserve">  </w:t>
      </w:r>
    </w:p>
    <w:p w14:paraId="1E101F5C" w14:textId="77777777"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In addition, the Exchange will review the tier levels on an annual basis to adjust for any substantial change in the nominal value due to market development, or as and when there are capital adjustments to the underlying stock.  The next annual review will be implemented in January 2019.</w:t>
      </w:r>
    </w:p>
    <w:p w14:paraId="6B8FE030" w14:textId="77777777" w:rsidR="00425E57" w:rsidRPr="00425E57" w:rsidRDefault="00425E57" w:rsidP="00425E57">
      <w:pPr>
        <w:pStyle w:val="ListParagraph"/>
        <w:widowControl/>
        <w:ind w:leftChars="0"/>
        <w:jc w:val="both"/>
        <w:rPr>
          <w:rFonts w:ascii="Arial" w:hAnsi="Arial" w:cs="Arial"/>
          <w:sz w:val="22"/>
          <w:szCs w:val="22"/>
        </w:rPr>
      </w:pPr>
    </w:p>
    <w:p w14:paraId="0998947E" w14:textId="77777777"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 xml:space="preserve">For the avoidance of doubt, the trading fee waiver announced in the circular (ref: </w:t>
      </w:r>
      <w:hyperlink r:id="rId15" w:history="1">
        <w:r w:rsidRPr="00425E57">
          <w:rPr>
            <w:rStyle w:val="Hyperlink"/>
            <w:rFonts w:ascii="Arial" w:hAnsi="Arial" w:cs="Arial"/>
            <w:sz w:val="22"/>
            <w:szCs w:val="22"/>
          </w:rPr>
          <w:t>MKD/EQD/06/18</w:t>
        </w:r>
      </w:hyperlink>
      <w:r w:rsidRPr="00425E57">
        <w:rPr>
          <w:rFonts w:ascii="Arial" w:hAnsi="Arial" w:cs="Arial"/>
          <w:sz w:val="22"/>
          <w:szCs w:val="22"/>
        </w:rPr>
        <w:t>) dated 14 February 2018 regarding the new incentive programs for stock futures will be applied to all stock futures trading on or before 31 August 2018, unless otherwise specified.</w:t>
      </w:r>
    </w:p>
    <w:p w14:paraId="57774929" w14:textId="77777777" w:rsidR="00425E57" w:rsidRDefault="00425E57" w:rsidP="00425E57">
      <w:pPr>
        <w:pStyle w:val="ListParagraph"/>
        <w:ind w:leftChars="0" w:left="960" w:hanging="251"/>
        <w:jc w:val="both"/>
        <w:rPr>
          <w:rFonts w:ascii="Arial" w:hAnsi="Arial" w:cs="Arial"/>
          <w:sz w:val="22"/>
          <w:szCs w:val="22"/>
        </w:rPr>
      </w:pPr>
    </w:p>
    <w:p w14:paraId="6570D5C3" w14:textId="77777777" w:rsidR="00E12B44" w:rsidRPr="00425E57" w:rsidRDefault="00E12B44" w:rsidP="00425E57">
      <w:pPr>
        <w:pStyle w:val="ListParagraph"/>
        <w:ind w:leftChars="0" w:left="960" w:hanging="251"/>
        <w:jc w:val="both"/>
        <w:rPr>
          <w:rFonts w:ascii="Arial" w:hAnsi="Arial" w:cs="Arial"/>
          <w:sz w:val="22"/>
          <w:szCs w:val="22"/>
        </w:rPr>
      </w:pPr>
    </w:p>
    <w:p w14:paraId="3DF7925B" w14:textId="77777777" w:rsidR="00425E57" w:rsidRPr="00425E57" w:rsidRDefault="00425E57" w:rsidP="00425E57">
      <w:pPr>
        <w:pStyle w:val="ListParagraph"/>
        <w:numPr>
          <w:ilvl w:val="0"/>
          <w:numId w:val="1"/>
        </w:numPr>
        <w:ind w:leftChars="0"/>
        <w:jc w:val="both"/>
        <w:rPr>
          <w:rFonts w:ascii="Arial" w:hAnsi="Arial" w:cs="Arial"/>
          <w:b/>
          <w:sz w:val="22"/>
          <w:szCs w:val="22"/>
        </w:rPr>
      </w:pPr>
      <w:r w:rsidRPr="00425E57">
        <w:rPr>
          <w:rFonts w:ascii="Arial" w:hAnsi="Arial" w:cs="Arial"/>
          <w:b/>
          <w:sz w:val="22"/>
          <w:szCs w:val="22"/>
        </w:rPr>
        <w:t>Reduction of Settlement Fee</w:t>
      </w:r>
    </w:p>
    <w:p w14:paraId="5DB68566" w14:textId="77777777" w:rsidR="00425E57" w:rsidRPr="00425E57" w:rsidRDefault="00425E57" w:rsidP="00425E57">
      <w:pPr>
        <w:pStyle w:val="ListParagraph"/>
        <w:ind w:leftChars="0" w:left="960" w:hanging="251"/>
        <w:jc w:val="both"/>
        <w:rPr>
          <w:rFonts w:ascii="Arial" w:hAnsi="Arial" w:cs="Arial"/>
          <w:sz w:val="22"/>
          <w:szCs w:val="22"/>
        </w:rPr>
      </w:pPr>
    </w:p>
    <w:p w14:paraId="3E2879D0" w14:textId="77777777" w:rsid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The settlement fee for all stock futures contracts will be reduced from HK$10 per contract to HK$2 per contract.</w:t>
      </w:r>
    </w:p>
    <w:p w14:paraId="0D39319A" w14:textId="77777777" w:rsidR="00865D1A" w:rsidRDefault="00865D1A" w:rsidP="00425E57">
      <w:pPr>
        <w:pStyle w:val="ListParagraph"/>
        <w:widowControl/>
        <w:ind w:leftChars="0"/>
        <w:jc w:val="both"/>
        <w:rPr>
          <w:rFonts w:ascii="Arial" w:hAnsi="Arial" w:cs="Arial"/>
          <w:sz w:val="22"/>
          <w:szCs w:val="22"/>
        </w:rPr>
      </w:pPr>
    </w:p>
    <w:p w14:paraId="6DCE2717" w14:textId="77777777" w:rsidR="00425E57" w:rsidRPr="00425E57" w:rsidRDefault="00425E57" w:rsidP="00425E57">
      <w:pPr>
        <w:pStyle w:val="ListParagraph"/>
        <w:numPr>
          <w:ilvl w:val="0"/>
          <w:numId w:val="1"/>
        </w:numPr>
        <w:ind w:leftChars="0"/>
        <w:jc w:val="both"/>
        <w:rPr>
          <w:rFonts w:ascii="Arial" w:hAnsi="Arial" w:cs="Arial"/>
          <w:b/>
          <w:sz w:val="22"/>
          <w:szCs w:val="22"/>
        </w:rPr>
      </w:pPr>
      <w:bookmarkStart w:id="0" w:name="_GoBack"/>
      <w:bookmarkEnd w:id="0"/>
      <w:r w:rsidRPr="00425E57">
        <w:rPr>
          <w:rFonts w:ascii="Arial" w:hAnsi="Arial" w:cs="Arial"/>
          <w:b/>
          <w:sz w:val="22"/>
          <w:szCs w:val="22"/>
        </w:rPr>
        <w:lastRenderedPageBreak/>
        <w:t>Introduction of Liquidity Provider Program</w:t>
      </w:r>
    </w:p>
    <w:p w14:paraId="18BE85E2" w14:textId="77777777" w:rsidR="00425E57" w:rsidRPr="00425E57" w:rsidRDefault="00425E57" w:rsidP="00425E57">
      <w:pPr>
        <w:jc w:val="both"/>
        <w:rPr>
          <w:b/>
          <w:sz w:val="22"/>
          <w:szCs w:val="22"/>
        </w:rPr>
      </w:pPr>
    </w:p>
    <w:p w14:paraId="6022F190" w14:textId="5ABA686F" w:rsidR="00425E57" w:rsidRPr="00425E57" w:rsidRDefault="00425E57" w:rsidP="00425E57">
      <w:pPr>
        <w:pStyle w:val="ListParagraph"/>
        <w:widowControl/>
        <w:ind w:leftChars="0"/>
        <w:jc w:val="both"/>
        <w:rPr>
          <w:rFonts w:ascii="Arial" w:hAnsi="Arial" w:cs="Arial"/>
          <w:noProof/>
          <w:sz w:val="22"/>
          <w:szCs w:val="22"/>
          <w:lang w:eastAsia="zh-CN"/>
        </w:rPr>
      </w:pPr>
      <w:r w:rsidRPr="00425E57">
        <w:rPr>
          <w:rFonts w:ascii="Arial" w:hAnsi="Arial" w:cs="Arial"/>
          <w:sz w:val="22"/>
          <w:szCs w:val="22"/>
        </w:rPr>
        <w:t xml:space="preserve">The Exchange now invites applications of Liquidity Provider (LP) for 10 selected stock futures contracts (see program details in Attachment II).  </w:t>
      </w:r>
      <w:r w:rsidR="003A407F" w:rsidRPr="00425E57">
        <w:rPr>
          <w:rFonts w:ascii="Arial" w:hAnsi="Arial" w:cs="Arial"/>
          <w:noProof/>
          <w:sz w:val="22"/>
          <w:szCs w:val="22"/>
          <w:lang w:eastAsia="zh-CN"/>
        </w:rPr>
        <w:t>Interested parties should contact Ms. Montassya Hutauruk (</w:t>
      </w:r>
      <w:hyperlink r:id="rId16" w:history="1">
        <w:r w:rsidR="003A407F" w:rsidRPr="00425E57">
          <w:rPr>
            <w:rStyle w:val="Hyperlink"/>
            <w:rFonts w:ascii="Arial" w:hAnsi="Arial" w:cs="Arial"/>
            <w:noProof/>
            <w:sz w:val="22"/>
            <w:szCs w:val="22"/>
            <w:lang w:eastAsia="zh-CN"/>
          </w:rPr>
          <w:t>MontassyaHutauruk@hkex.com.hk</w:t>
        </w:r>
      </w:hyperlink>
      <w:r w:rsidR="003A407F" w:rsidRPr="00425E57">
        <w:rPr>
          <w:rFonts w:ascii="Arial" w:hAnsi="Arial" w:cs="Arial"/>
          <w:noProof/>
          <w:sz w:val="22"/>
          <w:szCs w:val="22"/>
          <w:lang w:eastAsia="zh-CN"/>
        </w:rPr>
        <w:t>)</w:t>
      </w:r>
      <w:r w:rsidR="003A407F">
        <w:rPr>
          <w:rFonts w:ascii="Arial" w:hAnsi="Arial" w:cs="Arial"/>
          <w:noProof/>
          <w:sz w:val="22"/>
          <w:szCs w:val="22"/>
          <w:lang w:eastAsia="zh-CN"/>
        </w:rPr>
        <w:t>, Mr Charles Kwan (</w:t>
      </w:r>
      <w:hyperlink r:id="rId17" w:history="1">
        <w:r w:rsidR="003A407F" w:rsidRPr="00A43E85">
          <w:rPr>
            <w:rStyle w:val="Hyperlink"/>
            <w:rFonts w:ascii="Arial" w:hAnsi="Arial" w:cs="Arial"/>
            <w:noProof/>
            <w:sz w:val="22"/>
            <w:szCs w:val="22"/>
            <w:lang w:eastAsia="zh-CN"/>
          </w:rPr>
          <w:t>CharlesKwan@hkex.com.hk</w:t>
        </w:r>
      </w:hyperlink>
      <w:r w:rsidR="003A407F" w:rsidRPr="003A407F">
        <w:rPr>
          <w:rFonts w:ascii="Arial" w:hAnsi="Arial" w:cs="Arial"/>
          <w:noProof/>
          <w:sz w:val="22"/>
          <w:szCs w:val="22"/>
          <w:lang w:eastAsia="zh-CN"/>
        </w:rPr>
        <w:t>) or Mr Joe Huang (</w:t>
      </w:r>
      <w:hyperlink r:id="rId18" w:history="1">
        <w:r w:rsidR="003A407F" w:rsidRPr="00371782">
          <w:rPr>
            <w:rStyle w:val="Hyperlink"/>
            <w:rFonts w:ascii="Arial" w:hAnsi="Arial" w:cs="Arial"/>
            <w:noProof/>
            <w:sz w:val="22"/>
            <w:szCs w:val="22"/>
            <w:lang w:eastAsia="zh-CN"/>
          </w:rPr>
          <w:t>JoeHuang@hkex.com.hk</w:t>
        </w:r>
      </w:hyperlink>
      <w:r w:rsidR="003A407F" w:rsidRPr="003A407F">
        <w:rPr>
          <w:rFonts w:ascii="Arial" w:hAnsi="Arial" w:cs="Arial"/>
          <w:noProof/>
          <w:sz w:val="22"/>
          <w:szCs w:val="22"/>
          <w:lang w:eastAsia="zh-CN"/>
        </w:rPr>
        <w:t>) for details.</w:t>
      </w:r>
    </w:p>
    <w:p w14:paraId="3799FF93" w14:textId="77777777" w:rsidR="00425E57" w:rsidRPr="00425E57" w:rsidRDefault="00425E57" w:rsidP="00425E57">
      <w:pPr>
        <w:jc w:val="both"/>
        <w:rPr>
          <w:b/>
          <w:sz w:val="22"/>
          <w:szCs w:val="22"/>
        </w:rPr>
      </w:pPr>
    </w:p>
    <w:p w14:paraId="29EE7136" w14:textId="77777777" w:rsidR="00425E57" w:rsidRPr="00425E57" w:rsidRDefault="00425E57" w:rsidP="00425E57">
      <w:pPr>
        <w:jc w:val="both"/>
        <w:rPr>
          <w:b/>
          <w:sz w:val="22"/>
          <w:szCs w:val="22"/>
        </w:rPr>
      </w:pPr>
    </w:p>
    <w:p w14:paraId="3B79F10B" w14:textId="77777777" w:rsidR="00425E57" w:rsidRPr="00425E57" w:rsidRDefault="00425E57" w:rsidP="00425E57">
      <w:pPr>
        <w:pStyle w:val="ListParagraph"/>
        <w:numPr>
          <w:ilvl w:val="0"/>
          <w:numId w:val="1"/>
        </w:numPr>
        <w:ind w:leftChars="0"/>
        <w:jc w:val="both"/>
        <w:rPr>
          <w:rFonts w:ascii="Arial" w:hAnsi="Arial" w:cs="Arial"/>
          <w:b/>
          <w:sz w:val="22"/>
          <w:szCs w:val="22"/>
        </w:rPr>
      </w:pPr>
      <w:r w:rsidRPr="00425E57">
        <w:rPr>
          <w:rFonts w:ascii="Arial" w:hAnsi="Arial" w:cs="Arial"/>
          <w:b/>
          <w:sz w:val="22"/>
          <w:szCs w:val="22"/>
        </w:rPr>
        <w:t>Revision of Proprietary Trader Program</w:t>
      </w:r>
    </w:p>
    <w:p w14:paraId="50211753" w14:textId="77777777" w:rsidR="00425E57" w:rsidRPr="00425E57" w:rsidRDefault="00425E57" w:rsidP="00425E57">
      <w:pPr>
        <w:jc w:val="both"/>
        <w:rPr>
          <w:b/>
          <w:sz w:val="22"/>
          <w:szCs w:val="22"/>
        </w:rPr>
      </w:pPr>
    </w:p>
    <w:p w14:paraId="2088AD50" w14:textId="5BBDB9EE" w:rsidR="00425E57" w:rsidRPr="00425E57" w:rsidRDefault="00425E57" w:rsidP="00425E57">
      <w:pPr>
        <w:pStyle w:val="ListParagraph"/>
        <w:widowControl/>
        <w:ind w:leftChars="0"/>
        <w:jc w:val="both"/>
        <w:rPr>
          <w:rFonts w:ascii="Arial" w:hAnsi="Arial" w:cs="Arial"/>
          <w:noProof/>
          <w:sz w:val="22"/>
          <w:szCs w:val="22"/>
          <w:lang w:eastAsia="zh-CN"/>
        </w:rPr>
      </w:pPr>
      <w:r w:rsidRPr="00425E57">
        <w:rPr>
          <w:rFonts w:ascii="Arial" w:hAnsi="Arial" w:cs="Arial"/>
          <w:sz w:val="22"/>
          <w:szCs w:val="22"/>
        </w:rPr>
        <w:t xml:space="preserve">Reference is made to the circular (Ref: </w:t>
      </w:r>
      <w:hyperlink r:id="rId19" w:history="1">
        <w:r w:rsidRPr="00425E57">
          <w:rPr>
            <w:rStyle w:val="Hyperlink"/>
            <w:rFonts w:ascii="Arial" w:hAnsi="Arial" w:cs="Arial"/>
            <w:sz w:val="22"/>
            <w:szCs w:val="22"/>
          </w:rPr>
          <w:t>MKD/EQD/30/17</w:t>
        </w:r>
      </w:hyperlink>
      <w:r w:rsidRPr="00425E57">
        <w:rPr>
          <w:rFonts w:ascii="Arial" w:hAnsi="Arial" w:cs="Arial"/>
          <w:sz w:val="22"/>
          <w:szCs w:val="22"/>
        </w:rPr>
        <w:t>) dated 15 December 2017 on the incentives program for equity derivatives products</w:t>
      </w:r>
      <w:r w:rsidR="00F42AE4">
        <w:rPr>
          <w:rFonts w:ascii="Arial" w:hAnsi="Arial" w:cs="Arial"/>
          <w:sz w:val="22"/>
          <w:szCs w:val="22"/>
        </w:rPr>
        <w:t>.</w:t>
      </w:r>
      <w:r w:rsidRPr="00425E57">
        <w:rPr>
          <w:rFonts w:ascii="Arial" w:hAnsi="Arial" w:cs="Arial"/>
          <w:sz w:val="22"/>
          <w:szCs w:val="22"/>
        </w:rPr>
        <w:t xml:space="preserve"> </w:t>
      </w:r>
      <w:r w:rsidR="00F42AE4">
        <w:rPr>
          <w:rFonts w:ascii="Arial" w:hAnsi="Arial" w:cs="Arial"/>
          <w:sz w:val="22"/>
          <w:szCs w:val="22"/>
        </w:rPr>
        <w:t>P</w:t>
      </w:r>
      <w:r w:rsidRPr="00425E57">
        <w:rPr>
          <w:rFonts w:ascii="Arial" w:hAnsi="Arial" w:cs="Arial"/>
          <w:sz w:val="22"/>
          <w:szCs w:val="22"/>
        </w:rPr>
        <w:t>lease note that the obligations of Proprietary Trader for 10 selected stock futures (Stock Futures Basket) shall be revised</w:t>
      </w:r>
      <w:r w:rsidR="00B7196D">
        <w:rPr>
          <w:rStyle w:val="FootnoteReference"/>
          <w:rFonts w:ascii="Arial" w:hAnsi="Arial" w:cs="Arial"/>
          <w:sz w:val="22"/>
          <w:szCs w:val="22"/>
        </w:rPr>
        <w:footnoteReference w:id="1"/>
      </w:r>
      <w:r w:rsidRPr="00425E57">
        <w:rPr>
          <w:rFonts w:ascii="Arial" w:hAnsi="Arial" w:cs="Arial"/>
          <w:sz w:val="22"/>
          <w:szCs w:val="22"/>
        </w:rPr>
        <w:t xml:space="preserve"> (see details in Attachment III).  </w:t>
      </w:r>
      <w:r w:rsidRPr="00425E57">
        <w:rPr>
          <w:rFonts w:ascii="Arial" w:hAnsi="Arial" w:cs="Arial"/>
          <w:noProof/>
          <w:sz w:val="22"/>
          <w:szCs w:val="22"/>
          <w:lang w:eastAsia="zh-CN"/>
        </w:rPr>
        <w:t>Interested parties should contact Mr Joe Huang (</w:t>
      </w:r>
      <w:hyperlink r:id="rId20" w:history="1">
        <w:r w:rsidRPr="00425E57">
          <w:rPr>
            <w:rStyle w:val="Hyperlink"/>
            <w:rFonts w:ascii="Arial" w:hAnsi="Arial" w:cs="Arial"/>
            <w:noProof/>
            <w:sz w:val="22"/>
            <w:szCs w:val="22"/>
            <w:lang w:eastAsia="zh-CN"/>
          </w:rPr>
          <w:t>JoeHuang@hkex.com.hk</w:t>
        </w:r>
      </w:hyperlink>
      <w:r w:rsidRPr="00425E57">
        <w:rPr>
          <w:rFonts w:ascii="Arial" w:hAnsi="Arial" w:cs="Arial"/>
          <w:noProof/>
          <w:sz w:val="22"/>
          <w:szCs w:val="22"/>
          <w:lang w:eastAsia="zh-CN"/>
        </w:rPr>
        <w:t xml:space="preserve">) or </w:t>
      </w:r>
      <w:r w:rsidR="00C46FA6">
        <w:rPr>
          <w:rFonts w:ascii="Arial" w:hAnsi="Arial" w:cs="Arial"/>
          <w:noProof/>
          <w:sz w:val="22"/>
          <w:szCs w:val="22"/>
          <w:lang w:eastAsia="zh-CN"/>
        </w:rPr>
        <w:t>Mr Charles Kwan (</w:t>
      </w:r>
      <w:hyperlink r:id="rId21" w:history="1">
        <w:r w:rsidR="00C46FA6" w:rsidRPr="00A43E85">
          <w:rPr>
            <w:rStyle w:val="Hyperlink"/>
            <w:rFonts w:ascii="Arial" w:hAnsi="Arial" w:cs="Arial"/>
            <w:noProof/>
            <w:sz w:val="22"/>
            <w:szCs w:val="22"/>
            <w:lang w:eastAsia="zh-CN"/>
          </w:rPr>
          <w:t>CharlesKwan@hkex.com.hk</w:t>
        </w:r>
      </w:hyperlink>
      <w:r w:rsidR="00C46FA6" w:rsidRPr="003A407F">
        <w:rPr>
          <w:rFonts w:ascii="Arial" w:hAnsi="Arial" w:cs="Arial"/>
          <w:noProof/>
          <w:sz w:val="22"/>
          <w:szCs w:val="22"/>
          <w:lang w:eastAsia="zh-CN"/>
        </w:rPr>
        <w:t>)</w:t>
      </w:r>
      <w:r w:rsidRPr="00425E57">
        <w:rPr>
          <w:rFonts w:ascii="Arial" w:hAnsi="Arial" w:cs="Arial"/>
          <w:noProof/>
          <w:sz w:val="22"/>
          <w:szCs w:val="22"/>
          <w:lang w:eastAsia="zh-CN"/>
        </w:rPr>
        <w:t xml:space="preserve"> for details.</w:t>
      </w:r>
    </w:p>
    <w:p w14:paraId="366D8797" w14:textId="77777777" w:rsidR="00425E57" w:rsidRPr="00425E57" w:rsidRDefault="00425E57" w:rsidP="00425E57">
      <w:pPr>
        <w:ind w:leftChars="400" w:left="800"/>
        <w:jc w:val="both"/>
        <w:rPr>
          <w:rFonts w:eastAsia="新細明體"/>
          <w:kern w:val="2"/>
          <w:sz w:val="22"/>
          <w:szCs w:val="22"/>
          <w:lang w:eastAsia="zh-TW"/>
        </w:rPr>
      </w:pPr>
    </w:p>
    <w:p w14:paraId="22F7882B" w14:textId="77777777" w:rsidR="00425E57" w:rsidRPr="00425E57" w:rsidRDefault="00425E57" w:rsidP="00425E57">
      <w:pPr>
        <w:ind w:leftChars="400" w:left="800"/>
        <w:jc w:val="both"/>
        <w:rPr>
          <w:rFonts w:eastAsia="新細明體"/>
          <w:kern w:val="2"/>
          <w:sz w:val="22"/>
          <w:szCs w:val="22"/>
          <w:lang w:eastAsia="zh-TW"/>
        </w:rPr>
      </w:pPr>
    </w:p>
    <w:p w14:paraId="0D2FAB12" w14:textId="77777777" w:rsidR="00425E57" w:rsidRPr="00425E57" w:rsidRDefault="00425E57" w:rsidP="00425E57">
      <w:pPr>
        <w:pStyle w:val="ListParagraph"/>
        <w:numPr>
          <w:ilvl w:val="0"/>
          <w:numId w:val="1"/>
        </w:numPr>
        <w:ind w:leftChars="0"/>
        <w:jc w:val="both"/>
        <w:rPr>
          <w:rFonts w:ascii="Arial" w:hAnsi="Arial" w:cs="Arial"/>
          <w:b/>
          <w:sz w:val="22"/>
          <w:szCs w:val="22"/>
        </w:rPr>
      </w:pPr>
      <w:r w:rsidRPr="00425E57">
        <w:rPr>
          <w:rFonts w:ascii="Arial" w:hAnsi="Arial" w:cs="Arial"/>
          <w:b/>
          <w:sz w:val="22"/>
          <w:szCs w:val="22"/>
        </w:rPr>
        <w:t>Revision of Final Settlement Price Determination</w:t>
      </w:r>
    </w:p>
    <w:p w14:paraId="78C29605" w14:textId="77777777" w:rsidR="00425E57" w:rsidRPr="00425E57" w:rsidRDefault="00425E57" w:rsidP="00425E57">
      <w:pPr>
        <w:pStyle w:val="ListParagraph"/>
        <w:ind w:leftChars="0" w:left="960" w:hanging="251"/>
        <w:jc w:val="both"/>
        <w:rPr>
          <w:rFonts w:ascii="Arial" w:hAnsi="Arial" w:cs="Arial"/>
          <w:sz w:val="22"/>
          <w:szCs w:val="22"/>
        </w:rPr>
      </w:pPr>
    </w:p>
    <w:p w14:paraId="5C023EC4" w14:textId="41A20AD4"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The determination of the Final Settlement Price (FSP) shall be revised as follow</w:t>
      </w:r>
      <w:r w:rsidR="00F42AE4">
        <w:rPr>
          <w:rFonts w:ascii="Arial" w:hAnsi="Arial" w:cs="Arial"/>
          <w:sz w:val="22"/>
          <w:szCs w:val="22"/>
        </w:rPr>
        <w:t>s</w:t>
      </w:r>
      <w:r w:rsidRPr="00425E57">
        <w:rPr>
          <w:rFonts w:ascii="Arial" w:hAnsi="Arial" w:cs="Arial"/>
          <w:sz w:val="22"/>
          <w:szCs w:val="22"/>
        </w:rPr>
        <w:t>:</w:t>
      </w:r>
    </w:p>
    <w:p w14:paraId="5D2ED645" w14:textId="77777777" w:rsidR="00425E57" w:rsidRPr="00425E57" w:rsidRDefault="00425E57" w:rsidP="00425E57">
      <w:pPr>
        <w:pStyle w:val="ListParagraph"/>
        <w:ind w:leftChars="0" w:left="960" w:hanging="251"/>
        <w:jc w:val="both"/>
        <w:rPr>
          <w:rFonts w:ascii="Arial" w:hAnsi="Arial" w:cs="Arial"/>
          <w:sz w:val="22"/>
          <w:szCs w:val="22"/>
        </w:rPr>
      </w:pPr>
    </w:p>
    <w:tbl>
      <w:tblPr>
        <w:tblStyle w:val="TableGrid"/>
        <w:tblW w:w="9073" w:type="dxa"/>
        <w:tblInd w:w="595" w:type="dxa"/>
        <w:tblLayout w:type="fixed"/>
        <w:tblCellMar>
          <w:left w:w="57" w:type="dxa"/>
          <w:right w:w="57" w:type="dxa"/>
        </w:tblCellMar>
        <w:tblLook w:val="04A0" w:firstRow="1" w:lastRow="0" w:firstColumn="1" w:lastColumn="0" w:noHBand="0" w:noVBand="1"/>
      </w:tblPr>
      <w:tblGrid>
        <w:gridCol w:w="709"/>
        <w:gridCol w:w="4253"/>
        <w:gridCol w:w="4111"/>
      </w:tblGrid>
      <w:tr w:rsidR="00425E57" w:rsidRPr="00425E57" w14:paraId="78008010" w14:textId="77777777" w:rsidTr="007F51D1">
        <w:trPr>
          <w:trHeight w:val="184"/>
        </w:trPr>
        <w:tc>
          <w:tcPr>
            <w:tcW w:w="709" w:type="dxa"/>
            <w:shd w:val="clear" w:color="auto" w:fill="DAEEF3" w:themeFill="accent5" w:themeFillTint="33"/>
          </w:tcPr>
          <w:p w14:paraId="68DEF293" w14:textId="77777777" w:rsidR="00425E57" w:rsidRPr="00425E57" w:rsidRDefault="00425E57" w:rsidP="00E12B44">
            <w:pPr>
              <w:rPr>
                <w:sz w:val="22"/>
                <w:szCs w:val="22"/>
                <w:lang w:eastAsia="zh-HK"/>
              </w:rPr>
            </w:pPr>
          </w:p>
        </w:tc>
        <w:tc>
          <w:tcPr>
            <w:tcW w:w="4253" w:type="dxa"/>
            <w:shd w:val="clear" w:color="auto" w:fill="DAEEF3" w:themeFill="accent5" w:themeFillTint="33"/>
          </w:tcPr>
          <w:p w14:paraId="4C0CE59E" w14:textId="77777777" w:rsidR="00425E57" w:rsidRPr="00425E57" w:rsidRDefault="00425E57" w:rsidP="00E12B44">
            <w:pPr>
              <w:rPr>
                <w:sz w:val="22"/>
                <w:szCs w:val="22"/>
              </w:rPr>
            </w:pPr>
            <w:r w:rsidRPr="00425E57">
              <w:rPr>
                <w:sz w:val="22"/>
                <w:szCs w:val="22"/>
                <w:lang w:eastAsia="zh-HK"/>
              </w:rPr>
              <w:t>Existing Method</w:t>
            </w:r>
          </w:p>
        </w:tc>
        <w:tc>
          <w:tcPr>
            <w:tcW w:w="4111" w:type="dxa"/>
            <w:shd w:val="clear" w:color="auto" w:fill="DAEEF3" w:themeFill="accent5" w:themeFillTint="33"/>
          </w:tcPr>
          <w:p w14:paraId="25D1ADAD" w14:textId="77777777" w:rsidR="00425E57" w:rsidRPr="00425E57" w:rsidRDefault="00425E57" w:rsidP="00E12B44">
            <w:pPr>
              <w:rPr>
                <w:sz w:val="22"/>
                <w:szCs w:val="22"/>
              </w:rPr>
            </w:pPr>
            <w:r w:rsidRPr="00425E57">
              <w:rPr>
                <w:sz w:val="22"/>
                <w:szCs w:val="22"/>
                <w:lang w:eastAsia="zh-HK"/>
              </w:rPr>
              <w:t>New Method</w:t>
            </w:r>
          </w:p>
        </w:tc>
      </w:tr>
      <w:tr w:rsidR="00425E57" w:rsidRPr="00425E57" w14:paraId="39F377AB" w14:textId="77777777" w:rsidTr="007F51D1">
        <w:trPr>
          <w:trHeight w:val="2655"/>
        </w:trPr>
        <w:tc>
          <w:tcPr>
            <w:tcW w:w="709" w:type="dxa"/>
          </w:tcPr>
          <w:p w14:paraId="463DEB2F" w14:textId="77777777" w:rsidR="00425E57" w:rsidRPr="00425E57" w:rsidRDefault="00425E57" w:rsidP="00E12B44">
            <w:pPr>
              <w:rPr>
                <w:sz w:val="22"/>
                <w:szCs w:val="22"/>
                <w:lang w:eastAsia="zh-HK"/>
              </w:rPr>
            </w:pPr>
            <w:r w:rsidRPr="00425E57">
              <w:rPr>
                <w:sz w:val="22"/>
                <w:szCs w:val="22"/>
                <w:lang w:eastAsia="zh-HK"/>
              </w:rPr>
              <w:t>FSP</w:t>
            </w:r>
          </w:p>
        </w:tc>
        <w:tc>
          <w:tcPr>
            <w:tcW w:w="4253" w:type="dxa"/>
          </w:tcPr>
          <w:p w14:paraId="50745033" w14:textId="19999519" w:rsidR="00425E57" w:rsidRPr="00425E57" w:rsidRDefault="00425E57" w:rsidP="00E12B44">
            <w:pPr>
              <w:rPr>
                <w:sz w:val="22"/>
                <w:szCs w:val="22"/>
                <w:lang w:eastAsia="zh-HK"/>
              </w:rPr>
            </w:pPr>
            <w:r w:rsidRPr="00425E57">
              <w:rPr>
                <w:sz w:val="22"/>
                <w:szCs w:val="22"/>
                <w:lang w:eastAsia="zh-HK"/>
              </w:rPr>
              <w:t xml:space="preserve">The average of (i) the midpoints of the best bid and best ask for the underlying stock taken at five-minute intervals from five minutes after the start of, and up to five minutes before the end of, the Continuous Trading Session of </w:t>
            </w:r>
            <w:r w:rsidR="00865D1A">
              <w:rPr>
                <w:sz w:val="22"/>
                <w:szCs w:val="22"/>
                <w:lang w:eastAsia="zh-HK"/>
              </w:rPr>
              <w:t>the Stock Exchange of Hong Kong (</w:t>
            </w:r>
            <w:r w:rsidRPr="00425E57">
              <w:rPr>
                <w:sz w:val="22"/>
                <w:szCs w:val="22"/>
                <w:lang w:eastAsia="zh-HK"/>
              </w:rPr>
              <w:t>SEHK</w:t>
            </w:r>
            <w:r w:rsidR="00865D1A">
              <w:rPr>
                <w:sz w:val="22"/>
                <w:szCs w:val="22"/>
                <w:lang w:eastAsia="zh-HK"/>
              </w:rPr>
              <w:t>)</w:t>
            </w:r>
            <w:r w:rsidRPr="00425E57">
              <w:rPr>
                <w:sz w:val="22"/>
                <w:szCs w:val="22"/>
                <w:lang w:eastAsia="zh-HK"/>
              </w:rPr>
              <w:t xml:space="preserve"> and (ii) the closing price of the underlying stock as quoted by SEHK on the Last Trading Day (LTD).</w:t>
            </w:r>
          </w:p>
        </w:tc>
        <w:tc>
          <w:tcPr>
            <w:tcW w:w="4111" w:type="dxa"/>
          </w:tcPr>
          <w:p w14:paraId="1935A479" w14:textId="77777777" w:rsidR="00425E57" w:rsidRPr="00425E57" w:rsidRDefault="00425E57" w:rsidP="00E12B44">
            <w:pPr>
              <w:rPr>
                <w:sz w:val="22"/>
                <w:szCs w:val="22"/>
                <w:lang w:eastAsia="zh-HK"/>
              </w:rPr>
            </w:pPr>
            <w:r w:rsidRPr="00425E57">
              <w:rPr>
                <w:sz w:val="22"/>
                <w:szCs w:val="22"/>
                <w:lang w:eastAsia="zh-HK"/>
              </w:rPr>
              <w:t>The official closing price of the underlying stock as quoted by SEHK on the LTD.</w:t>
            </w:r>
          </w:p>
        </w:tc>
      </w:tr>
    </w:tbl>
    <w:p w14:paraId="4C42C06C" w14:textId="77777777" w:rsidR="00425E57" w:rsidRPr="00425E57" w:rsidRDefault="00425E57" w:rsidP="00425E57">
      <w:pPr>
        <w:pStyle w:val="ListParagraph"/>
        <w:widowControl/>
        <w:ind w:leftChars="0"/>
        <w:jc w:val="both"/>
        <w:rPr>
          <w:rFonts w:ascii="Arial" w:hAnsi="Arial" w:cs="Arial"/>
          <w:sz w:val="22"/>
          <w:szCs w:val="22"/>
        </w:rPr>
      </w:pPr>
    </w:p>
    <w:p w14:paraId="6540031C" w14:textId="3DBEE947" w:rsidR="00284B17" w:rsidRDefault="00284B17" w:rsidP="00425E57">
      <w:pPr>
        <w:pStyle w:val="ListParagraph"/>
        <w:widowControl/>
        <w:ind w:leftChars="0"/>
        <w:jc w:val="both"/>
        <w:rPr>
          <w:rFonts w:ascii="Arial" w:hAnsi="Arial" w:cs="Arial"/>
          <w:sz w:val="22"/>
          <w:szCs w:val="22"/>
        </w:rPr>
      </w:pPr>
      <w:r>
        <w:rPr>
          <w:rFonts w:ascii="Arial" w:hAnsi="Arial" w:cs="Arial"/>
          <w:sz w:val="22"/>
          <w:szCs w:val="22"/>
        </w:rPr>
        <w:t xml:space="preserve">For the avoidance of doubt, the FSP of </w:t>
      </w:r>
      <w:r w:rsidR="002315CE">
        <w:rPr>
          <w:rFonts w:ascii="Arial" w:hAnsi="Arial" w:cs="Arial"/>
          <w:sz w:val="22"/>
          <w:szCs w:val="22"/>
        </w:rPr>
        <w:t xml:space="preserve">the </w:t>
      </w:r>
      <w:r>
        <w:rPr>
          <w:rFonts w:ascii="Arial" w:hAnsi="Arial" w:cs="Arial"/>
          <w:sz w:val="22"/>
          <w:szCs w:val="22"/>
        </w:rPr>
        <w:t xml:space="preserve">contract months with </w:t>
      </w:r>
      <w:r w:rsidR="002315CE">
        <w:rPr>
          <w:rFonts w:ascii="Arial" w:hAnsi="Arial" w:cs="Arial"/>
          <w:sz w:val="22"/>
          <w:szCs w:val="22"/>
        </w:rPr>
        <w:t xml:space="preserve">LTD </w:t>
      </w:r>
      <w:r>
        <w:rPr>
          <w:rFonts w:ascii="Arial" w:hAnsi="Arial" w:cs="Arial"/>
          <w:sz w:val="22"/>
          <w:szCs w:val="22"/>
        </w:rPr>
        <w:t>prior to the Effective Date (i.e. May and June 2018</w:t>
      </w:r>
      <w:r w:rsidR="002315CE">
        <w:rPr>
          <w:rFonts w:ascii="Arial" w:hAnsi="Arial" w:cs="Arial"/>
          <w:sz w:val="22"/>
          <w:szCs w:val="22"/>
        </w:rPr>
        <w:t xml:space="preserve"> </w:t>
      </w:r>
      <w:r w:rsidR="005B3A4A">
        <w:rPr>
          <w:rFonts w:ascii="Arial" w:hAnsi="Arial" w:cs="Arial"/>
          <w:sz w:val="22"/>
          <w:szCs w:val="22"/>
        </w:rPr>
        <w:t>expiries</w:t>
      </w:r>
      <w:r>
        <w:rPr>
          <w:rFonts w:ascii="Arial" w:hAnsi="Arial" w:cs="Arial"/>
          <w:sz w:val="22"/>
          <w:szCs w:val="22"/>
        </w:rPr>
        <w:t>) will be determined by the existing method</w:t>
      </w:r>
      <w:r w:rsidR="00B7196D">
        <w:rPr>
          <w:rFonts w:ascii="Arial" w:hAnsi="Arial" w:cs="Arial"/>
          <w:sz w:val="22"/>
          <w:szCs w:val="22"/>
        </w:rPr>
        <w:t xml:space="preserve"> and the FSP of the contract months with LTD later than the Effective Date will be determined by the new method</w:t>
      </w:r>
      <w:r>
        <w:rPr>
          <w:rFonts w:ascii="Arial" w:hAnsi="Arial" w:cs="Arial"/>
          <w:sz w:val="22"/>
          <w:szCs w:val="22"/>
        </w:rPr>
        <w:t xml:space="preserve">. </w:t>
      </w:r>
    </w:p>
    <w:p w14:paraId="63C42302" w14:textId="77777777" w:rsidR="00284B17" w:rsidRPr="00284B17" w:rsidRDefault="00284B17" w:rsidP="00425E57">
      <w:pPr>
        <w:pStyle w:val="ListParagraph"/>
        <w:widowControl/>
        <w:ind w:leftChars="0"/>
        <w:jc w:val="both"/>
        <w:rPr>
          <w:rFonts w:ascii="Arial" w:hAnsi="Arial" w:cs="Arial"/>
          <w:sz w:val="22"/>
          <w:szCs w:val="22"/>
        </w:rPr>
      </w:pPr>
    </w:p>
    <w:p w14:paraId="37DCDF41" w14:textId="77777777"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If no official closing price is available on the LTD due to events such as typhoon or black rainstorm warning, or trading suspension of the underlying stock, the FSP shall be the last available official closing price of the underlying stock before the LTD.</w:t>
      </w:r>
    </w:p>
    <w:p w14:paraId="6B8B514A" w14:textId="77777777" w:rsidR="00203B0C" w:rsidRDefault="00203B0C" w:rsidP="00425E57">
      <w:pPr>
        <w:ind w:leftChars="400" w:left="800"/>
        <w:jc w:val="both"/>
        <w:rPr>
          <w:rFonts w:eastAsia="新細明體"/>
          <w:kern w:val="2"/>
          <w:sz w:val="22"/>
          <w:szCs w:val="22"/>
          <w:lang w:eastAsia="zh-TW"/>
        </w:rPr>
      </w:pPr>
    </w:p>
    <w:p w14:paraId="3C456163" w14:textId="77777777" w:rsidR="00203B0C" w:rsidRDefault="00203B0C" w:rsidP="00425E57">
      <w:pPr>
        <w:ind w:leftChars="400" w:left="800"/>
        <w:jc w:val="both"/>
        <w:rPr>
          <w:rFonts w:eastAsia="新細明體"/>
          <w:kern w:val="2"/>
          <w:sz w:val="22"/>
          <w:szCs w:val="22"/>
          <w:lang w:eastAsia="zh-TW"/>
        </w:rPr>
      </w:pPr>
    </w:p>
    <w:p w14:paraId="255C26B2" w14:textId="77777777" w:rsidR="00FB6F07" w:rsidRDefault="00FB6F07" w:rsidP="00425E57">
      <w:pPr>
        <w:ind w:leftChars="400" w:left="800"/>
        <w:jc w:val="both"/>
        <w:rPr>
          <w:rFonts w:eastAsia="新細明體"/>
          <w:kern w:val="2"/>
          <w:sz w:val="22"/>
          <w:szCs w:val="22"/>
          <w:lang w:eastAsia="zh-TW"/>
        </w:rPr>
      </w:pPr>
    </w:p>
    <w:p w14:paraId="5B45534E" w14:textId="77777777" w:rsidR="00FB6F07" w:rsidRDefault="00FB6F07" w:rsidP="00425E57">
      <w:pPr>
        <w:ind w:leftChars="400" w:left="800"/>
        <w:jc w:val="both"/>
        <w:rPr>
          <w:rFonts w:eastAsia="新細明體"/>
          <w:kern w:val="2"/>
          <w:sz w:val="22"/>
          <w:szCs w:val="22"/>
          <w:lang w:eastAsia="zh-TW"/>
        </w:rPr>
      </w:pPr>
    </w:p>
    <w:p w14:paraId="0D99AC9C" w14:textId="77777777" w:rsidR="00FB6F07" w:rsidRPr="00203B0C" w:rsidRDefault="00FB6F07" w:rsidP="00425E57">
      <w:pPr>
        <w:ind w:leftChars="400" w:left="800"/>
        <w:jc w:val="both"/>
        <w:rPr>
          <w:rFonts w:eastAsia="新細明體"/>
          <w:kern w:val="2"/>
          <w:sz w:val="22"/>
          <w:szCs w:val="22"/>
          <w:lang w:eastAsia="zh-TW"/>
        </w:rPr>
      </w:pPr>
    </w:p>
    <w:p w14:paraId="5979BCFD" w14:textId="77777777" w:rsidR="00425E57" w:rsidRPr="00425E57" w:rsidRDefault="00425E57" w:rsidP="00425E57">
      <w:pPr>
        <w:pStyle w:val="ListParagraph"/>
        <w:numPr>
          <w:ilvl w:val="0"/>
          <w:numId w:val="1"/>
        </w:numPr>
        <w:ind w:leftChars="0"/>
        <w:jc w:val="both"/>
        <w:rPr>
          <w:rFonts w:ascii="Arial" w:hAnsi="Arial" w:cs="Arial"/>
          <w:b/>
          <w:sz w:val="22"/>
          <w:szCs w:val="22"/>
        </w:rPr>
      </w:pPr>
      <w:r w:rsidRPr="00425E57">
        <w:rPr>
          <w:rFonts w:ascii="Arial" w:hAnsi="Arial" w:cs="Arial"/>
          <w:b/>
          <w:sz w:val="22"/>
          <w:szCs w:val="22"/>
        </w:rPr>
        <w:lastRenderedPageBreak/>
        <w:t>Trading Arrangement in case of Prolonged Trading Suspension in the Underlying Stock</w:t>
      </w:r>
    </w:p>
    <w:p w14:paraId="2E54216F" w14:textId="77777777" w:rsidR="00425E57" w:rsidRPr="00425E57" w:rsidRDefault="00425E57" w:rsidP="00425E57">
      <w:pPr>
        <w:pStyle w:val="ListParagraph"/>
        <w:widowControl/>
        <w:ind w:leftChars="0"/>
        <w:jc w:val="both"/>
        <w:rPr>
          <w:sz w:val="22"/>
          <w:szCs w:val="22"/>
        </w:rPr>
      </w:pPr>
    </w:p>
    <w:p w14:paraId="6C936BE6" w14:textId="77777777" w:rsidR="00425E57" w:rsidRPr="00425E57" w:rsidRDefault="00425E57" w:rsidP="00425E57">
      <w:pPr>
        <w:pStyle w:val="ListParagraph"/>
        <w:widowControl/>
        <w:ind w:leftChars="0"/>
        <w:jc w:val="both"/>
        <w:rPr>
          <w:rFonts w:ascii="Arial" w:hAnsi="Arial" w:cs="Arial"/>
          <w:sz w:val="22"/>
          <w:szCs w:val="22"/>
        </w:rPr>
      </w:pPr>
      <w:r w:rsidRPr="00425E57">
        <w:rPr>
          <w:rFonts w:ascii="Arial" w:hAnsi="Arial" w:cs="Arial"/>
          <w:sz w:val="22"/>
          <w:szCs w:val="22"/>
        </w:rPr>
        <w:t>If the underlying stock has been suspended for trading for three months or more, or has been approved for privatization, the Chief Executive, in consultation with the Commission, may discontinue the trading of the stock futures contract.</w:t>
      </w:r>
    </w:p>
    <w:p w14:paraId="6E9F48D1" w14:textId="77777777" w:rsidR="00425E57" w:rsidRPr="00425E57" w:rsidRDefault="00425E57" w:rsidP="00425E57">
      <w:pPr>
        <w:ind w:leftChars="400" w:left="800"/>
        <w:jc w:val="both"/>
        <w:rPr>
          <w:rFonts w:eastAsia="新細明體"/>
          <w:kern w:val="2"/>
          <w:sz w:val="22"/>
          <w:szCs w:val="22"/>
          <w:lang w:eastAsia="zh-TW"/>
        </w:rPr>
      </w:pPr>
    </w:p>
    <w:p w14:paraId="3994D57A" w14:textId="77777777" w:rsidR="00425E57" w:rsidRPr="00425E57" w:rsidRDefault="00425E57" w:rsidP="00425E57">
      <w:pPr>
        <w:jc w:val="both"/>
        <w:rPr>
          <w:rFonts w:eastAsia="新細明體"/>
          <w:kern w:val="2"/>
          <w:sz w:val="22"/>
          <w:szCs w:val="22"/>
          <w:lang w:eastAsia="zh-TW"/>
        </w:rPr>
      </w:pPr>
      <w:r w:rsidRPr="00425E57">
        <w:rPr>
          <w:rFonts w:eastAsia="新細明體"/>
          <w:kern w:val="2"/>
          <w:sz w:val="22"/>
          <w:szCs w:val="22"/>
          <w:lang w:eastAsia="zh-TW"/>
        </w:rPr>
        <w:t xml:space="preserve">Relevant rule amendments will be announced via a separate circular.  </w:t>
      </w:r>
    </w:p>
    <w:p w14:paraId="1DCE8183" w14:textId="77777777" w:rsidR="00425E57" w:rsidRPr="00425E57" w:rsidRDefault="00425E57" w:rsidP="00425E57">
      <w:pPr>
        <w:ind w:leftChars="400" w:left="800"/>
        <w:jc w:val="both"/>
        <w:rPr>
          <w:rFonts w:eastAsia="新細明體"/>
          <w:kern w:val="2"/>
          <w:sz w:val="22"/>
          <w:szCs w:val="22"/>
          <w:lang w:eastAsia="zh-TW"/>
        </w:rPr>
      </w:pPr>
    </w:p>
    <w:p w14:paraId="164B506A" w14:textId="77777777" w:rsidR="00425E57" w:rsidRPr="00425E57" w:rsidRDefault="00425E57" w:rsidP="00425E57">
      <w:pPr>
        <w:ind w:leftChars="400" w:left="800"/>
        <w:jc w:val="both"/>
        <w:rPr>
          <w:rFonts w:eastAsia="新細明體"/>
          <w:kern w:val="2"/>
          <w:sz w:val="22"/>
          <w:szCs w:val="22"/>
          <w:lang w:eastAsia="zh-TW"/>
        </w:rPr>
      </w:pPr>
    </w:p>
    <w:p w14:paraId="6258B378" w14:textId="77777777" w:rsidR="00425E57" w:rsidRPr="00425E57" w:rsidRDefault="00425E57" w:rsidP="00425E57">
      <w:pPr>
        <w:jc w:val="both"/>
        <w:rPr>
          <w:rFonts w:eastAsia="新細明體"/>
          <w:i/>
          <w:kern w:val="2"/>
          <w:sz w:val="22"/>
          <w:szCs w:val="22"/>
          <w:lang w:eastAsia="zh-TW"/>
        </w:rPr>
      </w:pPr>
      <w:r w:rsidRPr="00425E57">
        <w:rPr>
          <w:rFonts w:eastAsia="新細明體"/>
          <w:i/>
          <w:kern w:val="2"/>
          <w:sz w:val="22"/>
          <w:szCs w:val="22"/>
          <w:lang w:eastAsia="zh-TW"/>
        </w:rPr>
        <w:t>Inform Your Staff and Clients</w:t>
      </w:r>
    </w:p>
    <w:p w14:paraId="7FE9EEF0" w14:textId="77777777" w:rsidR="00425E57" w:rsidRPr="00425E57" w:rsidRDefault="00425E57" w:rsidP="00425E57">
      <w:pPr>
        <w:ind w:leftChars="400" w:left="800"/>
        <w:jc w:val="both"/>
        <w:rPr>
          <w:rFonts w:eastAsia="新細明體"/>
          <w:kern w:val="2"/>
          <w:sz w:val="22"/>
          <w:szCs w:val="22"/>
          <w:lang w:eastAsia="zh-TW"/>
        </w:rPr>
      </w:pPr>
    </w:p>
    <w:p w14:paraId="4C80600D" w14:textId="77777777" w:rsidR="00425E57" w:rsidRPr="00425E57" w:rsidRDefault="00425E57" w:rsidP="00425E57">
      <w:pPr>
        <w:jc w:val="both"/>
        <w:rPr>
          <w:rFonts w:eastAsia="新細明體"/>
          <w:kern w:val="2"/>
          <w:sz w:val="22"/>
          <w:szCs w:val="22"/>
          <w:lang w:eastAsia="zh-TW"/>
        </w:rPr>
      </w:pPr>
      <w:r w:rsidRPr="00425E57">
        <w:rPr>
          <w:rFonts w:eastAsia="新細明體"/>
          <w:kern w:val="2"/>
          <w:sz w:val="22"/>
          <w:szCs w:val="22"/>
          <w:lang w:eastAsia="zh-TW"/>
        </w:rPr>
        <w:t>Participants should notify all interested clients about the enhancement in stock futures market and ensure that your back office systems are ready for a smooth operation.  In addition, staff should be fully aware of the above and exercise caution when dealing with stock futures contracts and when advising your clients.</w:t>
      </w:r>
    </w:p>
    <w:p w14:paraId="73F1BE18" w14:textId="77777777" w:rsidR="00425E57" w:rsidRPr="00425E57" w:rsidRDefault="00425E57" w:rsidP="00425E57">
      <w:pPr>
        <w:ind w:leftChars="400" w:left="800"/>
        <w:jc w:val="both"/>
        <w:rPr>
          <w:rFonts w:eastAsia="新細明體"/>
          <w:kern w:val="2"/>
          <w:sz w:val="22"/>
          <w:szCs w:val="22"/>
          <w:lang w:eastAsia="zh-TW"/>
        </w:rPr>
      </w:pPr>
    </w:p>
    <w:p w14:paraId="1C1683B9" w14:textId="77777777" w:rsidR="00425E57" w:rsidRPr="00425E57" w:rsidRDefault="00425E57" w:rsidP="00425E57">
      <w:pPr>
        <w:ind w:leftChars="400" w:left="800"/>
        <w:jc w:val="both"/>
        <w:rPr>
          <w:rFonts w:eastAsia="新細明體"/>
          <w:kern w:val="2"/>
          <w:sz w:val="22"/>
          <w:szCs w:val="22"/>
          <w:lang w:eastAsia="zh-TW"/>
        </w:rPr>
      </w:pPr>
    </w:p>
    <w:p w14:paraId="26C8245A" w14:textId="77777777" w:rsidR="00425E57" w:rsidRPr="00425E57" w:rsidRDefault="00425E57" w:rsidP="00425E57">
      <w:pPr>
        <w:ind w:leftChars="400" w:left="800"/>
        <w:jc w:val="both"/>
        <w:rPr>
          <w:rFonts w:eastAsia="新細明體"/>
          <w:kern w:val="2"/>
          <w:sz w:val="22"/>
          <w:szCs w:val="22"/>
          <w:lang w:eastAsia="zh-TW"/>
        </w:rPr>
      </w:pPr>
    </w:p>
    <w:p w14:paraId="672769DC" w14:textId="77777777" w:rsidR="00425E57" w:rsidRPr="00425E57" w:rsidRDefault="00425E57" w:rsidP="00425E57">
      <w:pPr>
        <w:ind w:leftChars="400" w:left="800"/>
        <w:jc w:val="both"/>
        <w:rPr>
          <w:rFonts w:eastAsia="新細明體"/>
          <w:kern w:val="2"/>
          <w:sz w:val="22"/>
          <w:szCs w:val="22"/>
          <w:lang w:eastAsia="zh-TW"/>
        </w:rPr>
      </w:pPr>
    </w:p>
    <w:p w14:paraId="6E14FC9A" w14:textId="77777777" w:rsidR="00425E57" w:rsidRPr="00425E57" w:rsidRDefault="00425E57" w:rsidP="00425E57">
      <w:pPr>
        <w:ind w:leftChars="400" w:left="800"/>
        <w:jc w:val="both"/>
        <w:rPr>
          <w:rFonts w:eastAsia="新細明體"/>
          <w:kern w:val="2"/>
          <w:sz w:val="22"/>
          <w:szCs w:val="22"/>
          <w:lang w:eastAsia="zh-TW"/>
        </w:rPr>
      </w:pPr>
    </w:p>
    <w:p w14:paraId="362B9E6D" w14:textId="77777777" w:rsidR="00425E57" w:rsidRPr="00425E57" w:rsidRDefault="00425E57" w:rsidP="00425E57">
      <w:pPr>
        <w:tabs>
          <w:tab w:val="left" w:pos="0"/>
          <w:tab w:val="left" w:pos="2410"/>
        </w:tabs>
        <w:jc w:val="both"/>
        <w:rPr>
          <w:rFonts w:eastAsia="新細明體"/>
          <w:kern w:val="2"/>
          <w:sz w:val="22"/>
          <w:szCs w:val="22"/>
          <w:lang w:eastAsia="zh-TW"/>
        </w:rPr>
      </w:pPr>
      <w:r w:rsidRPr="00425E57">
        <w:rPr>
          <w:rFonts w:eastAsia="新細明體"/>
          <w:kern w:val="2"/>
          <w:sz w:val="22"/>
          <w:szCs w:val="22"/>
          <w:lang w:eastAsia="zh-TW"/>
        </w:rPr>
        <w:t>Li Gang</w:t>
      </w:r>
    </w:p>
    <w:p w14:paraId="42698674" w14:textId="77777777" w:rsidR="00425E57" w:rsidRPr="00425E57" w:rsidRDefault="00425E57" w:rsidP="00425E57">
      <w:pPr>
        <w:jc w:val="both"/>
        <w:rPr>
          <w:rFonts w:eastAsia="新細明體"/>
          <w:kern w:val="2"/>
          <w:sz w:val="22"/>
          <w:szCs w:val="22"/>
          <w:lang w:eastAsia="zh-TW"/>
        </w:rPr>
      </w:pPr>
      <w:r w:rsidRPr="00425E57">
        <w:rPr>
          <w:rFonts w:eastAsia="新細明體"/>
          <w:kern w:val="2"/>
          <w:sz w:val="22"/>
          <w:szCs w:val="22"/>
          <w:lang w:eastAsia="zh-TW"/>
        </w:rPr>
        <w:t>Co-head</w:t>
      </w:r>
    </w:p>
    <w:p w14:paraId="6557D539" w14:textId="77777777" w:rsidR="00425E57" w:rsidRPr="00425E57" w:rsidRDefault="00425E57" w:rsidP="00425E57">
      <w:pPr>
        <w:jc w:val="both"/>
        <w:rPr>
          <w:rFonts w:eastAsia="新細明體"/>
          <w:kern w:val="2"/>
          <w:sz w:val="22"/>
          <w:szCs w:val="22"/>
          <w:lang w:eastAsia="zh-TW"/>
        </w:rPr>
      </w:pPr>
      <w:r w:rsidRPr="00425E57">
        <w:rPr>
          <w:rFonts w:eastAsia="新細明體"/>
          <w:kern w:val="2"/>
          <w:sz w:val="22"/>
          <w:szCs w:val="22"/>
          <w:lang w:eastAsia="zh-TW"/>
        </w:rPr>
        <w:t>Market Development</w:t>
      </w:r>
    </w:p>
    <w:p w14:paraId="759BD7AD" w14:textId="77777777" w:rsidR="00425E57" w:rsidRPr="00425E57" w:rsidRDefault="00425E57" w:rsidP="00425E57">
      <w:pPr>
        <w:snapToGrid w:val="0"/>
        <w:jc w:val="both"/>
        <w:rPr>
          <w:noProof/>
          <w:sz w:val="22"/>
          <w:szCs w:val="22"/>
          <w:lang w:eastAsia="zh-CN"/>
        </w:rPr>
      </w:pPr>
    </w:p>
    <w:p w14:paraId="76ADFE3B" w14:textId="77777777" w:rsidR="00425E57" w:rsidRPr="00425E57" w:rsidRDefault="00425E57" w:rsidP="00425E57">
      <w:pPr>
        <w:snapToGrid w:val="0"/>
        <w:jc w:val="both"/>
        <w:rPr>
          <w:sz w:val="22"/>
          <w:szCs w:val="22"/>
        </w:rPr>
      </w:pPr>
    </w:p>
    <w:p w14:paraId="0BFF1D57" w14:textId="77777777" w:rsidR="00425E57" w:rsidRDefault="00425E57" w:rsidP="00425E57">
      <w:pPr>
        <w:snapToGrid w:val="0"/>
        <w:jc w:val="both"/>
        <w:rPr>
          <w:sz w:val="24"/>
          <w:szCs w:val="24"/>
        </w:rPr>
      </w:pPr>
    </w:p>
    <w:p w14:paraId="5515487A" w14:textId="77777777" w:rsidR="00425E57" w:rsidRDefault="00425E57" w:rsidP="00425E57">
      <w:pPr>
        <w:snapToGrid w:val="0"/>
        <w:jc w:val="both"/>
        <w:rPr>
          <w:sz w:val="24"/>
          <w:szCs w:val="24"/>
        </w:rPr>
      </w:pPr>
      <w:r>
        <w:rPr>
          <w:i/>
          <w:iCs/>
        </w:rPr>
        <w:t>This circular has been issued in the English language with a separate Chinese language translation. If there is any conflict in the circulars between the meaning of Chinese words or terms in the Chinese language version and English words in the English language version, the meaning of the English words shall prevail.</w:t>
      </w:r>
    </w:p>
    <w:p w14:paraId="2C0CE529" w14:textId="47657919" w:rsidR="003E19E7" w:rsidRPr="006E5273" w:rsidRDefault="003E19E7" w:rsidP="00A30E3D">
      <w:pPr>
        <w:spacing w:line="360" w:lineRule="auto"/>
        <w:rPr>
          <w:sz w:val="22"/>
          <w:szCs w:val="22"/>
        </w:rPr>
      </w:pPr>
    </w:p>
    <w:p w14:paraId="05C02D1E" w14:textId="77777777" w:rsidR="003E19E7" w:rsidRPr="006E5273" w:rsidRDefault="003E19E7" w:rsidP="00A30E3D">
      <w:pPr>
        <w:spacing w:line="360" w:lineRule="auto"/>
        <w:rPr>
          <w:sz w:val="22"/>
          <w:szCs w:val="22"/>
        </w:rPr>
      </w:pPr>
    </w:p>
    <w:p w14:paraId="388F8C80" w14:textId="77777777" w:rsidR="003E19E7" w:rsidRPr="006E5273" w:rsidRDefault="003E19E7" w:rsidP="00A30E3D">
      <w:pPr>
        <w:spacing w:line="360" w:lineRule="auto"/>
        <w:rPr>
          <w:sz w:val="22"/>
          <w:szCs w:val="22"/>
        </w:rPr>
      </w:pPr>
    </w:p>
    <w:p w14:paraId="7D3B3074" w14:textId="05011CB3" w:rsidR="00425E57" w:rsidRPr="00C16A16" w:rsidRDefault="00425E57" w:rsidP="00425E57">
      <w:pPr>
        <w:pageBreakBefore/>
        <w:snapToGrid w:val="0"/>
        <w:jc w:val="right"/>
        <w:rPr>
          <w:sz w:val="22"/>
          <w:szCs w:val="22"/>
        </w:rPr>
      </w:pPr>
      <w:r w:rsidRPr="00C16A16">
        <w:rPr>
          <w:sz w:val="22"/>
          <w:szCs w:val="22"/>
        </w:rPr>
        <w:t>Attachment I</w:t>
      </w:r>
    </w:p>
    <w:p w14:paraId="62BEC54E" w14:textId="77777777" w:rsidR="00425E57" w:rsidRPr="00C16A16" w:rsidRDefault="00425E57" w:rsidP="00425E57">
      <w:pPr>
        <w:snapToGrid w:val="0"/>
        <w:jc w:val="both"/>
        <w:rPr>
          <w:sz w:val="22"/>
          <w:szCs w:val="22"/>
        </w:rPr>
      </w:pPr>
    </w:p>
    <w:p w14:paraId="4BA42238" w14:textId="77777777" w:rsidR="00425E57" w:rsidRPr="00C16A16" w:rsidRDefault="00425E57" w:rsidP="00425E57">
      <w:pPr>
        <w:snapToGrid w:val="0"/>
        <w:jc w:val="both"/>
        <w:rPr>
          <w:b/>
          <w:sz w:val="22"/>
          <w:szCs w:val="22"/>
          <w:u w:val="single"/>
        </w:rPr>
      </w:pPr>
      <w:r w:rsidRPr="00C16A16">
        <w:rPr>
          <w:b/>
          <w:sz w:val="22"/>
          <w:szCs w:val="22"/>
          <w:u w:val="single"/>
        </w:rPr>
        <w:t>List of Stock Futures and New Trading Fee Tier</w:t>
      </w:r>
    </w:p>
    <w:p w14:paraId="72C192DC" w14:textId="77777777" w:rsidR="00425E57" w:rsidRPr="00B71D20" w:rsidRDefault="00425E57" w:rsidP="00425E57">
      <w:pPr>
        <w:tabs>
          <w:tab w:val="left" w:pos="1440"/>
        </w:tabs>
        <w:ind w:right="140"/>
        <w:rPr>
          <w:bCs/>
        </w:rPr>
      </w:pPr>
    </w:p>
    <w:p w14:paraId="072BFDEF" w14:textId="77777777" w:rsidR="00425E57" w:rsidRPr="00E7433F" w:rsidRDefault="00425E57" w:rsidP="00425E57">
      <w:pPr>
        <w:pStyle w:val="Default"/>
        <w:rPr>
          <w:b/>
          <w:sz w:val="20"/>
          <w:szCs w:val="20"/>
        </w:rPr>
      </w:pPr>
      <w:r w:rsidRPr="00E7433F">
        <w:rPr>
          <w:b/>
          <w:bCs/>
          <w:sz w:val="20"/>
          <w:szCs w:val="20"/>
        </w:rPr>
        <w:t xml:space="preserve">a) Stock </w:t>
      </w:r>
      <w:r>
        <w:rPr>
          <w:b/>
          <w:bCs/>
          <w:sz w:val="20"/>
          <w:szCs w:val="20"/>
        </w:rPr>
        <w:t>f</w:t>
      </w:r>
      <w:r w:rsidRPr="00E7433F">
        <w:rPr>
          <w:b/>
          <w:bCs/>
          <w:sz w:val="20"/>
          <w:szCs w:val="20"/>
        </w:rPr>
        <w:t xml:space="preserve">utures with </w:t>
      </w:r>
      <w:r>
        <w:rPr>
          <w:b/>
          <w:bCs/>
          <w:sz w:val="20"/>
          <w:szCs w:val="20"/>
        </w:rPr>
        <w:t>c</w:t>
      </w:r>
      <w:r w:rsidRPr="00E7433F">
        <w:rPr>
          <w:b/>
          <w:bCs/>
          <w:sz w:val="20"/>
          <w:szCs w:val="20"/>
        </w:rPr>
        <w:t xml:space="preserve">ontract </w:t>
      </w:r>
      <w:r>
        <w:rPr>
          <w:b/>
          <w:bCs/>
          <w:sz w:val="20"/>
          <w:szCs w:val="20"/>
        </w:rPr>
        <w:t>s</w:t>
      </w:r>
      <w:r w:rsidRPr="00E7433F">
        <w:rPr>
          <w:b/>
          <w:bCs/>
          <w:sz w:val="20"/>
          <w:szCs w:val="20"/>
        </w:rPr>
        <w:t xml:space="preserve">ize </w:t>
      </w:r>
      <w:r>
        <w:rPr>
          <w:b/>
          <w:bCs/>
          <w:sz w:val="20"/>
          <w:szCs w:val="20"/>
        </w:rPr>
        <w:t>m</w:t>
      </w:r>
      <w:r w:rsidRPr="00E7433F">
        <w:rPr>
          <w:b/>
          <w:bCs/>
          <w:sz w:val="20"/>
          <w:szCs w:val="20"/>
        </w:rPr>
        <w:t xml:space="preserve">ore </w:t>
      </w:r>
      <w:r>
        <w:rPr>
          <w:b/>
          <w:bCs/>
          <w:sz w:val="20"/>
          <w:szCs w:val="20"/>
        </w:rPr>
        <w:t>t</w:t>
      </w:r>
      <w:r w:rsidRPr="00E7433F">
        <w:rPr>
          <w:b/>
          <w:bCs/>
          <w:sz w:val="20"/>
          <w:szCs w:val="20"/>
        </w:rPr>
        <w:t xml:space="preserve">han </w:t>
      </w:r>
      <w:r>
        <w:rPr>
          <w:b/>
          <w:bCs/>
          <w:sz w:val="20"/>
          <w:szCs w:val="20"/>
        </w:rPr>
        <w:t>o</w:t>
      </w:r>
      <w:r w:rsidRPr="00E7433F">
        <w:rPr>
          <w:b/>
          <w:bCs/>
          <w:sz w:val="20"/>
          <w:szCs w:val="20"/>
        </w:rPr>
        <w:t xml:space="preserve">ne </w:t>
      </w:r>
      <w:r>
        <w:rPr>
          <w:b/>
          <w:bCs/>
          <w:sz w:val="20"/>
          <w:szCs w:val="20"/>
        </w:rPr>
        <w:t>u</w:t>
      </w:r>
      <w:r w:rsidRPr="00E7433F">
        <w:rPr>
          <w:b/>
          <w:bCs/>
          <w:sz w:val="20"/>
          <w:szCs w:val="20"/>
        </w:rPr>
        <w:t xml:space="preserve">nderlying </w:t>
      </w:r>
      <w:r>
        <w:rPr>
          <w:b/>
          <w:bCs/>
          <w:sz w:val="20"/>
          <w:szCs w:val="20"/>
        </w:rPr>
        <w:t>b</w:t>
      </w:r>
      <w:r w:rsidRPr="00E7433F">
        <w:rPr>
          <w:b/>
          <w:bCs/>
          <w:sz w:val="20"/>
          <w:szCs w:val="20"/>
        </w:rPr>
        <w:t xml:space="preserve">oard </w:t>
      </w:r>
      <w:r>
        <w:rPr>
          <w:b/>
          <w:bCs/>
          <w:sz w:val="20"/>
          <w:szCs w:val="20"/>
        </w:rPr>
        <w:t>l</w:t>
      </w:r>
      <w:r w:rsidRPr="00E7433F">
        <w:rPr>
          <w:b/>
          <w:bCs/>
          <w:sz w:val="20"/>
          <w:szCs w:val="20"/>
        </w:rPr>
        <w:t xml:space="preserve">ot </w:t>
      </w:r>
      <w:r>
        <w:rPr>
          <w:b/>
          <w:bCs/>
          <w:sz w:val="20"/>
          <w:szCs w:val="20"/>
        </w:rPr>
        <w:t>s</w:t>
      </w:r>
      <w:r w:rsidRPr="00E7433F">
        <w:rPr>
          <w:b/>
          <w:bCs/>
          <w:sz w:val="20"/>
          <w:szCs w:val="20"/>
        </w:rPr>
        <w:t xml:space="preserve">hares </w:t>
      </w:r>
    </w:p>
    <w:tbl>
      <w:tblPr>
        <w:tblW w:w="5000" w:type="pct"/>
        <w:tblCellSpacing w:w="15" w:type="dxa"/>
        <w:tblBorders>
          <w:top w:val="single" w:sz="6" w:space="0" w:color="E2E2E2"/>
          <w:left w:val="single" w:sz="6" w:space="0" w:color="E2E2E2"/>
          <w:bottom w:val="single" w:sz="6" w:space="0" w:color="E2E2E2"/>
          <w:right w:val="single" w:sz="6" w:space="0" w:color="E2E2E2"/>
        </w:tblBorders>
        <w:shd w:val="clear" w:color="auto" w:fill="CCCCCC"/>
        <w:tblCellMar>
          <w:top w:w="30" w:type="dxa"/>
          <w:left w:w="30" w:type="dxa"/>
          <w:bottom w:w="30" w:type="dxa"/>
          <w:right w:w="30" w:type="dxa"/>
        </w:tblCellMar>
        <w:tblLook w:val="04A0" w:firstRow="1" w:lastRow="0" w:firstColumn="1" w:lastColumn="0" w:noHBand="0" w:noVBand="1"/>
      </w:tblPr>
      <w:tblGrid>
        <w:gridCol w:w="499"/>
        <w:gridCol w:w="637"/>
        <w:gridCol w:w="5175"/>
        <w:gridCol w:w="849"/>
        <w:gridCol w:w="1133"/>
        <w:gridCol w:w="849"/>
        <w:gridCol w:w="640"/>
      </w:tblGrid>
      <w:tr w:rsidR="00425E57" w:rsidRPr="00B71D20" w14:paraId="266082CC" w14:textId="77777777" w:rsidTr="0038097B">
        <w:trPr>
          <w:tblHeader/>
          <w:tblCellSpacing w:w="15" w:type="dxa"/>
        </w:trPr>
        <w:tc>
          <w:tcPr>
            <w:tcW w:w="232" w:type="pct"/>
            <w:shd w:val="clear" w:color="auto" w:fill="DAEEF3" w:themeFill="accent5" w:themeFillTint="33"/>
            <w:hideMark/>
          </w:tcPr>
          <w:p w14:paraId="3DB95E9D" w14:textId="77777777" w:rsidR="00425E57" w:rsidRPr="00B71D20" w:rsidRDefault="00425E57" w:rsidP="00E12B44">
            <w:pPr>
              <w:rPr>
                <w:rFonts w:eastAsia="Times New Roman"/>
                <w:color w:val="333333"/>
              </w:rPr>
            </w:pPr>
            <w:r w:rsidRPr="00B71D20">
              <w:rPr>
                <w:rFonts w:eastAsia="Times New Roman"/>
                <w:color w:val="333333"/>
              </w:rPr>
              <w:t>No.</w:t>
            </w:r>
          </w:p>
        </w:tc>
        <w:tc>
          <w:tcPr>
            <w:tcW w:w="310" w:type="pct"/>
            <w:shd w:val="clear" w:color="auto" w:fill="DAEEF3" w:themeFill="accent5" w:themeFillTint="33"/>
            <w:hideMark/>
          </w:tcPr>
          <w:p w14:paraId="0B6F8DFF" w14:textId="77777777" w:rsidR="00425E57" w:rsidRPr="00B71D20" w:rsidRDefault="00425E57" w:rsidP="00E12B44">
            <w:pPr>
              <w:rPr>
                <w:rFonts w:eastAsia="Times New Roman"/>
                <w:color w:val="333333"/>
              </w:rPr>
            </w:pPr>
            <w:r w:rsidRPr="00B71D20">
              <w:rPr>
                <w:rFonts w:eastAsia="Times New Roman"/>
                <w:color w:val="333333"/>
              </w:rPr>
              <w:t>SEHK</w:t>
            </w:r>
            <w:r w:rsidRPr="00B71D20">
              <w:rPr>
                <w:rFonts w:eastAsia="Times New Roman"/>
                <w:color w:val="333333"/>
              </w:rPr>
              <w:br/>
              <w:t>Code</w:t>
            </w:r>
          </w:p>
        </w:tc>
        <w:tc>
          <w:tcPr>
            <w:tcW w:w="2631" w:type="pct"/>
            <w:shd w:val="clear" w:color="auto" w:fill="DAEEF3" w:themeFill="accent5" w:themeFillTint="33"/>
            <w:hideMark/>
          </w:tcPr>
          <w:p w14:paraId="51A724C3" w14:textId="77777777" w:rsidR="00425E57" w:rsidRPr="00B71D20" w:rsidRDefault="00425E57" w:rsidP="00E12B44">
            <w:pPr>
              <w:rPr>
                <w:rFonts w:eastAsia="Times New Roman"/>
                <w:color w:val="333333"/>
              </w:rPr>
            </w:pPr>
            <w:r w:rsidRPr="00B71D20">
              <w:rPr>
                <w:rFonts w:eastAsia="Times New Roman"/>
                <w:color w:val="333333"/>
              </w:rPr>
              <w:t>Underlying Stocks</w:t>
            </w:r>
          </w:p>
        </w:tc>
        <w:tc>
          <w:tcPr>
            <w:tcW w:w="419" w:type="pct"/>
            <w:shd w:val="clear" w:color="auto" w:fill="DAEEF3" w:themeFill="accent5" w:themeFillTint="33"/>
            <w:hideMark/>
          </w:tcPr>
          <w:p w14:paraId="143A1E5D" w14:textId="77777777" w:rsidR="00425E57" w:rsidRPr="00B71D20" w:rsidRDefault="00425E57" w:rsidP="00E12B44">
            <w:pPr>
              <w:jc w:val="center"/>
              <w:rPr>
                <w:rFonts w:eastAsia="Times New Roman"/>
                <w:color w:val="333333"/>
              </w:rPr>
            </w:pPr>
            <w:r w:rsidRPr="00B71D20">
              <w:rPr>
                <w:rFonts w:eastAsia="Times New Roman"/>
                <w:color w:val="333333"/>
              </w:rPr>
              <w:t>HKATS</w:t>
            </w:r>
            <w:r w:rsidRPr="00B71D20">
              <w:rPr>
                <w:rFonts w:eastAsia="Times New Roman"/>
                <w:color w:val="333333"/>
              </w:rPr>
              <w:br/>
              <w:t> Code</w:t>
            </w:r>
          </w:p>
        </w:tc>
        <w:tc>
          <w:tcPr>
            <w:tcW w:w="564" w:type="pct"/>
            <w:shd w:val="clear" w:color="auto" w:fill="DAEEF3" w:themeFill="accent5" w:themeFillTint="33"/>
            <w:hideMark/>
          </w:tcPr>
          <w:p w14:paraId="14ABA13E" w14:textId="77777777" w:rsidR="00425E57" w:rsidRPr="00B71D20" w:rsidRDefault="00425E57" w:rsidP="00E12B44">
            <w:pPr>
              <w:jc w:val="center"/>
              <w:rPr>
                <w:rFonts w:eastAsia="Times New Roman"/>
                <w:color w:val="333333"/>
              </w:rPr>
            </w:pPr>
            <w:r w:rsidRPr="00B71D20">
              <w:rPr>
                <w:rFonts w:eastAsia="Times New Roman"/>
                <w:color w:val="333333"/>
              </w:rPr>
              <w:t>Contract</w:t>
            </w:r>
            <w:r w:rsidRPr="00B71D20">
              <w:rPr>
                <w:rFonts w:eastAsia="Times New Roman"/>
                <w:color w:val="333333"/>
              </w:rPr>
              <w:br/>
              <w:t>Multiplier</w:t>
            </w:r>
            <w:r w:rsidRPr="00B71D20">
              <w:rPr>
                <w:rFonts w:eastAsia="Times New Roman"/>
                <w:color w:val="333333"/>
              </w:rPr>
              <w:br/>
              <w:t>(shares)</w:t>
            </w:r>
          </w:p>
        </w:tc>
        <w:tc>
          <w:tcPr>
            <w:tcW w:w="419" w:type="pct"/>
            <w:shd w:val="clear" w:color="auto" w:fill="DAEEF3" w:themeFill="accent5" w:themeFillTint="33"/>
          </w:tcPr>
          <w:p w14:paraId="175577A1" w14:textId="77777777" w:rsidR="00425E57" w:rsidRPr="00B71D20" w:rsidRDefault="00425E57" w:rsidP="00E12B44">
            <w:pPr>
              <w:jc w:val="center"/>
              <w:rPr>
                <w:rFonts w:eastAsia="Times New Roman"/>
                <w:color w:val="333333"/>
              </w:rPr>
            </w:pPr>
            <w:r w:rsidRPr="00B71D20">
              <w:rPr>
                <w:rFonts w:eastAsia="Times New Roman"/>
                <w:color w:val="333333"/>
              </w:rPr>
              <w:t>No. of Board Lots</w:t>
            </w:r>
          </w:p>
        </w:tc>
        <w:tc>
          <w:tcPr>
            <w:tcW w:w="304" w:type="pct"/>
            <w:shd w:val="clear" w:color="auto" w:fill="DAEEF3" w:themeFill="accent5" w:themeFillTint="33"/>
          </w:tcPr>
          <w:p w14:paraId="44DB267E" w14:textId="77777777" w:rsidR="00425E57" w:rsidRPr="00B71D20" w:rsidRDefault="00425E57" w:rsidP="00E12B44">
            <w:pPr>
              <w:jc w:val="center"/>
              <w:rPr>
                <w:rFonts w:eastAsia="Times New Roman"/>
                <w:color w:val="333333"/>
              </w:rPr>
            </w:pPr>
            <w:r>
              <w:rPr>
                <w:rFonts w:eastAsia="Times New Roman"/>
                <w:color w:val="333333"/>
              </w:rPr>
              <w:t>Tier No.</w:t>
            </w:r>
          </w:p>
        </w:tc>
      </w:tr>
      <w:tr w:rsidR="00425E57" w:rsidRPr="00B71D20" w14:paraId="366D1890" w14:textId="77777777" w:rsidTr="0095215C">
        <w:trPr>
          <w:tblCellSpacing w:w="15" w:type="dxa"/>
        </w:trPr>
        <w:tc>
          <w:tcPr>
            <w:tcW w:w="232" w:type="pct"/>
            <w:shd w:val="clear" w:color="auto" w:fill="FFFFFF"/>
          </w:tcPr>
          <w:p w14:paraId="5F868979" w14:textId="77777777" w:rsidR="00425E57" w:rsidRPr="00B71D20" w:rsidRDefault="00425E57" w:rsidP="00E12B44">
            <w:pPr>
              <w:jc w:val="center"/>
              <w:rPr>
                <w:color w:val="000000"/>
              </w:rPr>
            </w:pPr>
            <w:r w:rsidRPr="00B71D20">
              <w:rPr>
                <w:rFonts w:eastAsia="Times New Roman"/>
                <w:color w:val="333333"/>
              </w:rPr>
              <w:t>1</w:t>
            </w:r>
          </w:p>
        </w:tc>
        <w:tc>
          <w:tcPr>
            <w:tcW w:w="310" w:type="pct"/>
            <w:shd w:val="clear" w:color="auto" w:fill="FFFFFF"/>
            <w:vAlign w:val="center"/>
          </w:tcPr>
          <w:p w14:paraId="4754DE18" w14:textId="77777777" w:rsidR="00425E57" w:rsidRPr="00B71D20" w:rsidRDefault="00425E57" w:rsidP="00E12B44">
            <w:pPr>
              <w:jc w:val="center"/>
              <w:rPr>
                <w:color w:val="000000"/>
              </w:rPr>
            </w:pPr>
            <w:r w:rsidRPr="00B71D20">
              <w:rPr>
                <w:color w:val="000000"/>
                <w:lang w:val="en-HK"/>
              </w:rPr>
              <w:t>119</w:t>
            </w:r>
          </w:p>
        </w:tc>
        <w:tc>
          <w:tcPr>
            <w:tcW w:w="2631" w:type="pct"/>
            <w:shd w:val="clear" w:color="auto" w:fill="FFFFFF"/>
            <w:vAlign w:val="center"/>
          </w:tcPr>
          <w:p w14:paraId="1DD91138" w14:textId="77777777" w:rsidR="00425E57" w:rsidRPr="00B71D20" w:rsidRDefault="00425E57" w:rsidP="00E12B44">
            <w:pPr>
              <w:rPr>
                <w:color w:val="000000"/>
              </w:rPr>
            </w:pPr>
            <w:r>
              <w:rPr>
                <w:color w:val="000000"/>
                <w:lang w:val="en-GB"/>
              </w:rPr>
              <w:t xml:space="preserve">Poly Property Group Co., Ltd </w:t>
            </w:r>
          </w:p>
        </w:tc>
        <w:tc>
          <w:tcPr>
            <w:tcW w:w="419" w:type="pct"/>
            <w:shd w:val="clear" w:color="auto" w:fill="FFFFFF"/>
            <w:vAlign w:val="center"/>
          </w:tcPr>
          <w:p w14:paraId="2B76444C" w14:textId="77777777" w:rsidR="00425E57" w:rsidRPr="00B71D20" w:rsidRDefault="00425E57" w:rsidP="00E12B44">
            <w:pPr>
              <w:jc w:val="center"/>
              <w:rPr>
                <w:color w:val="000000"/>
              </w:rPr>
            </w:pPr>
            <w:r w:rsidRPr="00B71D20">
              <w:rPr>
                <w:color w:val="000000"/>
                <w:lang w:val="en-HK"/>
              </w:rPr>
              <w:t>POL</w:t>
            </w:r>
          </w:p>
        </w:tc>
        <w:tc>
          <w:tcPr>
            <w:tcW w:w="564" w:type="pct"/>
            <w:shd w:val="clear" w:color="auto" w:fill="FFFFFF"/>
            <w:vAlign w:val="center"/>
          </w:tcPr>
          <w:p w14:paraId="7326DEDD"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3540BA86" w14:textId="77777777" w:rsidR="00425E57" w:rsidRPr="00B71D20" w:rsidRDefault="00425E57" w:rsidP="00E12B44">
            <w:pPr>
              <w:jc w:val="center"/>
              <w:rPr>
                <w:color w:val="000000"/>
              </w:rPr>
            </w:pPr>
            <w:r w:rsidRPr="00B71D20">
              <w:rPr>
                <w:color w:val="000000"/>
                <w:lang w:val="en-HK"/>
              </w:rPr>
              <w:t>10</w:t>
            </w:r>
          </w:p>
        </w:tc>
        <w:tc>
          <w:tcPr>
            <w:tcW w:w="304" w:type="pct"/>
            <w:shd w:val="clear" w:color="auto" w:fill="FFFFFF"/>
          </w:tcPr>
          <w:p w14:paraId="0F407249" w14:textId="77777777" w:rsidR="00425E57" w:rsidRPr="00B71D20" w:rsidRDefault="00425E57" w:rsidP="00E12B44">
            <w:pPr>
              <w:jc w:val="center"/>
              <w:rPr>
                <w:color w:val="000000"/>
                <w:lang w:val="en-HK"/>
              </w:rPr>
            </w:pPr>
            <w:r>
              <w:rPr>
                <w:color w:val="000000"/>
                <w:lang w:val="en-HK"/>
              </w:rPr>
              <w:t>1</w:t>
            </w:r>
          </w:p>
        </w:tc>
      </w:tr>
      <w:tr w:rsidR="00425E57" w:rsidRPr="00B71D20" w14:paraId="56414B4A" w14:textId="77777777" w:rsidTr="0095215C">
        <w:trPr>
          <w:tblCellSpacing w:w="15" w:type="dxa"/>
        </w:trPr>
        <w:tc>
          <w:tcPr>
            <w:tcW w:w="232" w:type="pct"/>
            <w:shd w:val="clear" w:color="auto" w:fill="FFFFFF"/>
          </w:tcPr>
          <w:p w14:paraId="12540F14" w14:textId="77777777" w:rsidR="00425E57" w:rsidRPr="00B71D20" w:rsidRDefault="00425E57" w:rsidP="00E12B44">
            <w:pPr>
              <w:jc w:val="center"/>
              <w:rPr>
                <w:color w:val="000000"/>
              </w:rPr>
            </w:pPr>
            <w:r w:rsidRPr="00B71D20">
              <w:rPr>
                <w:rFonts w:eastAsia="Times New Roman"/>
                <w:color w:val="333333"/>
              </w:rPr>
              <w:t>2</w:t>
            </w:r>
          </w:p>
        </w:tc>
        <w:tc>
          <w:tcPr>
            <w:tcW w:w="310" w:type="pct"/>
            <w:shd w:val="clear" w:color="auto" w:fill="FFFFFF"/>
            <w:vAlign w:val="center"/>
          </w:tcPr>
          <w:p w14:paraId="3DD31FAC" w14:textId="77777777" w:rsidR="00425E57" w:rsidRPr="00B71D20" w:rsidRDefault="00425E57" w:rsidP="00E12B44">
            <w:pPr>
              <w:jc w:val="center"/>
              <w:rPr>
                <w:color w:val="000000"/>
              </w:rPr>
            </w:pPr>
            <w:r w:rsidRPr="00B71D20">
              <w:rPr>
                <w:color w:val="000000"/>
                <w:lang w:val="en-HK"/>
              </w:rPr>
              <w:t>410</w:t>
            </w:r>
          </w:p>
        </w:tc>
        <w:tc>
          <w:tcPr>
            <w:tcW w:w="2631" w:type="pct"/>
            <w:shd w:val="clear" w:color="auto" w:fill="FFFFFF"/>
            <w:vAlign w:val="center"/>
          </w:tcPr>
          <w:p w14:paraId="6772E62B" w14:textId="77777777" w:rsidR="00425E57" w:rsidRPr="00B71D20" w:rsidRDefault="00425E57" w:rsidP="00E12B44">
            <w:pPr>
              <w:rPr>
                <w:color w:val="000000"/>
                <w:lang w:val="en-GB"/>
              </w:rPr>
            </w:pPr>
            <w:r>
              <w:rPr>
                <w:color w:val="000000"/>
                <w:lang w:val="en-GB"/>
              </w:rPr>
              <w:t>SOHO China Ltd.</w:t>
            </w:r>
          </w:p>
        </w:tc>
        <w:tc>
          <w:tcPr>
            <w:tcW w:w="419" w:type="pct"/>
            <w:shd w:val="clear" w:color="auto" w:fill="FFFFFF"/>
            <w:vAlign w:val="center"/>
          </w:tcPr>
          <w:p w14:paraId="3DF4F3E9" w14:textId="77777777" w:rsidR="00425E57" w:rsidRPr="00B71D20" w:rsidRDefault="00425E57" w:rsidP="00E12B44">
            <w:pPr>
              <w:jc w:val="center"/>
              <w:rPr>
                <w:color w:val="000000"/>
              </w:rPr>
            </w:pPr>
            <w:r w:rsidRPr="00B71D20">
              <w:rPr>
                <w:color w:val="000000"/>
                <w:lang w:val="en-HK"/>
              </w:rPr>
              <w:t>SOH</w:t>
            </w:r>
          </w:p>
        </w:tc>
        <w:tc>
          <w:tcPr>
            <w:tcW w:w="564" w:type="pct"/>
            <w:shd w:val="clear" w:color="auto" w:fill="FFFFFF"/>
            <w:vAlign w:val="center"/>
          </w:tcPr>
          <w:p w14:paraId="793E07E2"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5BC16BED" w14:textId="77777777" w:rsidR="00425E57" w:rsidRPr="00B71D20" w:rsidRDefault="00425E57" w:rsidP="00E12B44">
            <w:pPr>
              <w:jc w:val="center"/>
              <w:rPr>
                <w:color w:val="000000"/>
              </w:rPr>
            </w:pPr>
            <w:r w:rsidRPr="00B71D20">
              <w:rPr>
                <w:color w:val="000000"/>
                <w:lang w:val="en-HK"/>
              </w:rPr>
              <w:t>20</w:t>
            </w:r>
          </w:p>
        </w:tc>
        <w:tc>
          <w:tcPr>
            <w:tcW w:w="304" w:type="pct"/>
            <w:shd w:val="clear" w:color="auto" w:fill="FFFFFF"/>
          </w:tcPr>
          <w:p w14:paraId="2656427C" w14:textId="77777777" w:rsidR="00425E57" w:rsidRPr="00B71D20" w:rsidRDefault="00425E57" w:rsidP="00E12B44">
            <w:pPr>
              <w:jc w:val="center"/>
              <w:rPr>
                <w:color w:val="000000"/>
                <w:lang w:val="en-HK"/>
              </w:rPr>
            </w:pPr>
            <w:r>
              <w:rPr>
                <w:color w:val="000000"/>
                <w:lang w:val="en-HK"/>
              </w:rPr>
              <w:t>1</w:t>
            </w:r>
          </w:p>
        </w:tc>
      </w:tr>
      <w:tr w:rsidR="00425E57" w:rsidRPr="00B71D20" w14:paraId="288AFACF" w14:textId="77777777" w:rsidTr="0095215C">
        <w:trPr>
          <w:tblCellSpacing w:w="15" w:type="dxa"/>
        </w:trPr>
        <w:tc>
          <w:tcPr>
            <w:tcW w:w="232" w:type="pct"/>
            <w:shd w:val="clear" w:color="auto" w:fill="FFFFFF"/>
          </w:tcPr>
          <w:p w14:paraId="21F23139" w14:textId="77777777" w:rsidR="00425E57" w:rsidRPr="00B71D20" w:rsidRDefault="00425E57" w:rsidP="00E12B44">
            <w:pPr>
              <w:jc w:val="center"/>
              <w:rPr>
                <w:color w:val="000000"/>
              </w:rPr>
            </w:pPr>
            <w:r w:rsidRPr="00B71D20">
              <w:rPr>
                <w:rFonts w:eastAsia="Times New Roman"/>
                <w:color w:val="333333"/>
              </w:rPr>
              <w:t>3</w:t>
            </w:r>
          </w:p>
        </w:tc>
        <w:tc>
          <w:tcPr>
            <w:tcW w:w="310" w:type="pct"/>
            <w:shd w:val="clear" w:color="auto" w:fill="FFFFFF"/>
            <w:vAlign w:val="center"/>
          </w:tcPr>
          <w:p w14:paraId="63571B4A" w14:textId="77777777" w:rsidR="00425E57" w:rsidRPr="00B71D20" w:rsidRDefault="00425E57" w:rsidP="00E12B44">
            <w:pPr>
              <w:jc w:val="center"/>
              <w:rPr>
                <w:color w:val="000000"/>
              </w:rPr>
            </w:pPr>
            <w:r w:rsidRPr="00B71D20">
              <w:rPr>
                <w:color w:val="000000"/>
                <w:lang w:val="en-HK"/>
              </w:rPr>
              <w:t>493</w:t>
            </w:r>
          </w:p>
        </w:tc>
        <w:tc>
          <w:tcPr>
            <w:tcW w:w="2631" w:type="pct"/>
            <w:shd w:val="clear" w:color="auto" w:fill="FFFFFF"/>
            <w:vAlign w:val="center"/>
          </w:tcPr>
          <w:p w14:paraId="1FBEDFF1" w14:textId="77777777" w:rsidR="00425E57" w:rsidRPr="00B71D20" w:rsidRDefault="00425E57" w:rsidP="00E12B44">
            <w:pPr>
              <w:rPr>
                <w:color w:val="000000"/>
                <w:lang w:val="en-GB"/>
              </w:rPr>
            </w:pPr>
            <w:r w:rsidRPr="00B71D20">
              <w:rPr>
                <w:color w:val="000000"/>
                <w:lang w:val="en-GB"/>
              </w:rPr>
              <w:t>GOME Electrical Appliances Holding Ltd</w:t>
            </w:r>
            <w:r>
              <w:rPr>
                <w:color w:val="000000"/>
                <w:lang w:val="en-GB"/>
              </w:rPr>
              <w:t xml:space="preserve"> </w:t>
            </w:r>
          </w:p>
        </w:tc>
        <w:tc>
          <w:tcPr>
            <w:tcW w:w="419" w:type="pct"/>
            <w:shd w:val="clear" w:color="auto" w:fill="FFFFFF"/>
            <w:vAlign w:val="center"/>
          </w:tcPr>
          <w:p w14:paraId="78A1F644" w14:textId="77777777" w:rsidR="00425E57" w:rsidRPr="00B71D20" w:rsidRDefault="00425E57" w:rsidP="00E12B44">
            <w:pPr>
              <w:jc w:val="center"/>
              <w:rPr>
                <w:color w:val="000000"/>
              </w:rPr>
            </w:pPr>
            <w:r w:rsidRPr="00B71D20">
              <w:rPr>
                <w:color w:val="000000"/>
                <w:lang w:val="en-HK"/>
              </w:rPr>
              <w:t>GOM</w:t>
            </w:r>
          </w:p>
        </w:tc>
        <w:tc>
          <w:tcPr>
            <w:tcW w:w="564" w:type="pct"/>
            <w:shd w:val="clear" w:color="auto" w:fill="FFFFFF"/>
            <w:vAlign w:val="center"/>
          </w:tcPr>
          <w:p w14:paraId="7871871C" w14:textId="77777777" w:rsidR="00425E57" w:rsidRPr="00B71D20" w:rsidRDefault="00425E57" w:rsidP="00E12B44">
            <w:pPr>
              <w:jc w:val="center"/>
              <w:rPr>
                <w:color w:val="000000"/>
              </w:rPr>
            </w:pPr>
            <w:r w:rsidRPr="00B71D20">
              <w:rPr>
                <w:color w:val="000000"/>
                <w:lang w:val="en-HK"/>
              </w:rPr>
              <w:t>50,000</w:t>
            </w:r>
          </w:p>
        </w:tc>
        <w:tc>
          <w:tcPr>
            <w:tcW w:w="419" w:type="pct"/>
            <w:shd w:val="clear" w:color="auto" w:fill="FFFFFF"/>
            <w:vAlign w:val="center"/>
          </w:tcPr>
          <w:p w14:paraId="3659397B" w14:textId="77777777" w:rsidR="00425E57" w:rsidRPr="00B71D20" w:rsidRDefault="00425E57" w:rsidP="00E12B44">
            <w:pPr>
              <w:jc w:val="center"/>
              <w:rPr>
                <w:color w:val="000000"/>
              </w:rPr>
            </w:pPr>
            <w:r w:rsidRPr="00B71D20">
              <w:rPr>
                <w:color w:val="000000"/>
                <w:lang w:val="en-HK"/>
              </w:rPr>
              <w:t>50</w:t>
            </w:r>
          </w:p>
        </w:tc>
        <w:tc>
          <w:tcPr>
            <w:tcW w:w="304" w:type="pct"/>
            <w:shd w:val="clear" w:color="auto" w:fill="FFFFFF"/>
          </w:tcPr>
          <w:p w14:paraId="17FEE459" w14:textId="77777777" w:rsidR="00425E57" w:rsidRPr="00B71D20" w:rsidRDefault="00425E57" w:rsidP="00E12B44">
            <w:pPr>
              <w:jc w:val="center"/>
              <w:rPr>
                <w:color w:val="000000"/>
                <w:lang w:val="en-HK"/>
              </w:rPr>
            </w:pPr>
            <w:r>
              <w:rPr>
                <w:color w:val="000000"/>
                <w:lang w:val="en-HK"/>
              </w:rPr>
              <w:t>1</w:t>
            </w:r>
          </w:p>
        </w:tc>
      </w:tr>
      <w:tr w:rsidR="00425E57" w:rsidRPr="00B71D20" w14:paraId="218E26BD" w14:textId="77777777" w:rsidTr="0095215C">
        <w:trPr>
          <w:tblCellSpacing w:w="15" w:type="dxa"/>
        </w:trPr>
        <w:tc>
          <w:tcPr>
            <w:tcW w:w="232" w:type="pct"/>
            <w:shd w:val="clear" w:color="auto" w:fill="FFFFFF"/>
            <w:vAlign w:val="center"/>
          </w:tcPr>
          <w:p w14:paraId="76C48DD2" w14:textId="77777777" w:rsidR="00425E57" w:rsidRPr="00B71D20" w:rsidRDefault="00425E57" w:rsidP="00E12B44">
            <w:pPr>
              <w:jc w:val="center"/>
              <w:rPr>
                <w:color w:val="000000"/>
              </w:rPr>
            </w:pPr>
            <w:r w:rsidRPr="00B71D20">
              <w:rPr>
                <w:color w:val="000000"/>
              </w:rPr>
              <w:t>4</w:t>
            </w:r>
          </w:p>
        </w:tc>
        <w:tc>
          <w:tcPr>
            <w:tcW w:w="310" w:type="pct"/>
            <w:shd w:val="clear" w:color="auto" w:fill="FFFFFF"/>
            <w:vAlign w:val="center"/>
          </w:tcPr>
          <w:p w14:paraId="6D819B16" w14:textId="77777777" w:rsidR="00425E57" w:rsidRPr="00B71D20" w:rsidRDefault="00425E57" w:rsidP="00E12B44">
            <w:pPr>
              <w:jc w:val="center"/>
              <w:rPr>
                <w:color w:val="000000"/>
              </w:rPr>
            </w:pPr>
            <w:r w:rsidRPr="00B71D20">
              <w:rPr>
                <w:color w:val="000000"/>
                <w:lang w:val="en-HK"/>
              </w:rPr>
              <w:t>656</w:t>
            </w:r>
          </w:p>
        </w:tc>
        <w:tc>
          <w:tcPr>
            <w:tcW w:w="2631" w:type="pct"/>
            <w:shd w:val="clear" w:color="auto" w:fill="FFFFFF"/>
            <w:vAlign w:val="center"/>
          </w:tcPr>
          <w:p w14:paraId="2027871E" w14:textId="77777777" w:rsidR="00425E57" w:rsidRPr="00B71D20" w:rsidRDefault="00425E57" w:rsidP="00E12B44">
            <w:pPr>
              <w:rPr>
                <w:color w:val="000000"/>
                <w:lang w:val="en-GB"/>
              </w:rPr>
            </w:pPr>
            <w:proofErr w:type="spellStart"/>
            <w:r>
              <w:rPr>
                <w:color w:val="000000"/>
                <w:lang w:val="en-GB"/>
              </w:rPr>
              <w:t>Fosun</w:t>
            </w:r>
            <w:proofErr w:type="spellEnd"/>
            <w:r>
              <w:rPr>
                <w:color w:val="000000"/>
                <w:lang w:val="en-GB"/>
              </w:rPr>
              <w:t xml:space="preserve"> International Ltd </w:t>
            </w:r>
          </w:p>
        </w:tc>
        <w:tc>
          <w:tcPr>
            <w:tcW w:w="419" w:type="pct"/>
            <w:shd w:val="clear" w:color="auto" w:fill="FFFFFF"/>
            <w:vAlign w:val="center"/>
          </w:tcPr>
          <w:p w14:paraId="27774192" w14:textId="77777777" w:rsidR="00425E57" w:rsidRPr="00B71D20" w:rsidRDefault="00425E57" w:rsidP="00E12B44">
            <w:pPr>
              <w:jc w:val="center"/>
              <w:rPr>
                <w:color w:val="000000"/>
              </w:rPr>
            </w:pPr>
            <w:r w:rsidRPr="00B71D20">
              <w:rPr>
                <w:color w:val="000000"/>
                <w:lang w:val="en-HK"/>
              </w:rPr>
              <w:t>FOS</w:t>
            </w:r>
          </w:p>
        </w:tc>
        <w:tc>
          <w:tcPr>
            <w:tcW w:w="564" w:type="pct"/>
            <w:shd w:val="clear" w:color="auto" w:fill="FFFFFF"/>
            <w:vAlign w:val="center"/>
          </w:tcPr>
          <w:p w14:paraId="251B564E"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24CAC721" w14:textId="77777777" w:rsidR="00425E57" w:rsidRPr="00B71D20" w:rsidRDefault="00425E57" w:rsidP="00E12B44">
            <w:pPr>
              <w:jc w:val="center"/>
              <w:rPr>
                <w:color w:val="000000"/>
              </w:rPr>
            </w:pPr>
            <w:r w:rsidRPr="00B71D20">
              <w:rPr>
                <w:color w:val="000000"/>
                <w:lang w:val="en-HK"/>
              </w:rPr>
              <w:t>20</w:t>
            </w:r>
          </w:p>
        </w:tc>
        <w:tc>
          <w:tcPr>
            <w:tcW w:w="304" w:type="pct"/>
            <w:shd w:val="clear" w:color="auto" w:fill="FFFFFF"/>
          </w:tcPr>
          <w:p w14:paraId="1245F9D5" w14:textId="77777777" w:rsidR="00425E57" w:rsidRPr="00B71D20" w:rsidRDefault="00425E57" w:rsidP="00E12B44">
            <w:pPr>
              <w:jc w:val="center"/>
              <w:rPr>
                <w:color w:val="000000"/>
                <w:lang w:val="en-HK"/>
              </w:rPr>
            </w:pPr>
            <w:r>
              <w:rPr>
                <w:color w:val="000000"/>
                <w:lang w:val="en-HK"/>
              </w:rPr>
              <w:t>1</w:t>
            </w:r>
          </w:p>
        </w:tc>
      </w:tr>
      <w:tr w:rsidR="00425E57" w:rsidRPr="00B71D20" w14:paraId="50BB3E35" w14:textId="77777777" w:rsidTr="0095215C">
        <w:trPr>
          <w:tblCellSpacing w:w="15" w:type="dxa"/>
        </w:trPr>
        <w:tc>
          <w:tcPr>
            <w:tcW w:w="232" w:type="pct"/>
            <w:shd w:val="clear" w:color="auto" w:fill="FFFFFF"/>
            <w:vAlign w:val="center"/>
          </w:tcPr>
          <w:p w14:paraId="6570E9A3" w14:textId="77777777" w:rsidR="00425E57" w:rsidRPr="00B71D20" w:rsidRDefault="00425E57" w:rsidP="00E12B44">
            <w:pPr>
              <w:jc w:val="center"/>
              <w:rPr>
                <w:color w:val="000000"/>
              </w:rPr>
            </w:pPr>
            <w:r>
              <w:rPr>
                <w:color w:val="000000"/>
              </w:rPr>
              <w:t>5</w:t>
            </w:r>
          </w:p>
        </w:tc>
        <w:tc>
          <w:tcPr>
            <w:tcW w:w="310" w:type="pct"/>
            <w:shd w:val="clear" w:color="auto" w:fill="FFFFFF"/>
            <w:vAlign w:val="center"/>
          </w:tcPr>
          <w:p w14:paraId="37C00F45" w14:textId="77777777" w:rsidR="00425E57" w:rsidRPr="00B71D20" w:rsidRDefault="00425E57" w:rsidP="00E12B44">
            <w:pPr>
              <w:jc w:val="center"/>
              <w:rPr>
                <w:color w:val="000000"/>
              </w:rPr>
            </w:pPr>
            <w:r w:rsidRPr="00B71D20">
              <w:rPr>
                <w:color w:val="000000"/>
                <w:lang w:val="en-HK"/>
              </w:rPr>
              <w:t>861</w:t>
            </w:r>
          </w:p>
        </w:tc>
        <w:tc>
          <w:tcPr>
            <w:tcW w:w="2631" w:type="pct"/>
            <w:shd w:val="clear" w:color="auto" w:fill="FFFFFF"/>
            <w:vAlign w:val="center"/>
          </w:tcPr>
          <w:p w14:paraId="5E16A9F9" w14:textId="77777777" w:rsidR="00425E57" w:rsidRPr="00B71D20" w:rsidRDefault="00425E57" w:rsidP="00E12B44">
            <w:pPr>
              <w:rPr>
                <w:color w:val="000000"/>
                <w:lang w:val="en-GB"/>
              </w:rPr>
            </w:pPr>
            <w:r>
              <w:rPr>
                <w:color w:val="000000"/>
                <w:lang w:val="en-GB"/>
              </w:rPr>
              <w:t>Digital China Holdings Ltd.</w:t>
            </w:r>
          </w:p>
        </w:tc>
        <w:tc>
          <w:tcPr>
            <w:tcW w:w="419" w:type="pct"/>
            <w:shd w:val="clear" w:color="auto" w:fill="FFFFFF"/>
            <w:vAlign w:val="center"/>
          </w:tcPr>
          <w:p w14:paraId="2683A27B" w14:textId="77777777" w:rsidR="00425E57" w:rsidRPr="00B71D20" w:rsidRDefault="00425E57" w:rsidP="00E12B44">
            <w:pPr>
              <w:jc w:val="center"/>
              <w:rPr>
                <w:color w:val="000000"/>
              </w:rPr>
            </w:pPr>
            <w:r w:rsidRPr="00B71D20">
              <w:rPr>
                <w:color w:val="000000"/>
                <w:lang w:val="en-HK"/>
              </w:rPr>
              <w:t>DIG</w:t>
            </w:r>
          </w:p>
        </w:tc>
        <w:tc>
          <w:tcPr>
            <w:tcW w:w="564" w:type="pct"/>
            <w:shd w:val="clear" w:color="auto" w:fill="FFFFFF"/>
            <w:vAlign w:val="center"/>
          </w:tcPr>
          <w:p w14:paraId="22FD072D" w14:textId="77777777" w:rsidR="00425E57" w:rsidRPr="00B71D20" w:rsidRDefault="00425E57" w:rsidP="00E12B44">
            <w:pPr>
              <w:jc w:val="center"/>
              <w:rPr>
                <w:color w:val="000000"/>
              </w:rPr>
            </w:pPr>
            <w:r w:rsidRPr="00B71D20">
              <w:rPr>
                <w:color w:val="000000"/>
                <w:lang w:val="en-HK"/>
              </w:rPr>
              <w:t>5,000</w:t>
            </w:r>
          </w:p>
        </w:tc>
        <w:tc>
          <w:tcPr>
            <w:tcW w:w="419" w:type="pct"/>
            <w:shd w:val="clear" w:color="auto" w:fill="FFFFFF"/>
            <w:vAlign w:val="center"/>
          </w:tcPr>
          <w:p w14:paraId="60090F8E" w14:textId="77777777" w:rsidR="00425E57" w:rsidRPr="00B71D20" w:rsidRDefault="00425E57" w:rsidP="00E12B44">
            <w:pPr>
              <w:jc w:val="center"/>
              <w:rPr>
                <w:color w:val="000000"/>
              </w:rPr>
            </w:pPr>
            <w:r w:rsidRPr="00B71D20">
              <w:rPr>
                <w:color w:val="000000"/>
                <w:lang w:val="en-HK"/>
              </w:rPr>
              <w:t>5</w:t>
            </w:r>
          </w:p>
        </w:tc>
        <w:tc>
          <w:tcPr>
            <w:tcW w:w="304" w:type="pct"/>
            <w:shd w:val="clear" w:color="auto" w:fill="FFFFFF"/>
          </w:tcPr>
          <w:p w14:paraId="56A69BFE" w14:textId="77777777" w:rsidR="00425E57" w:rsidRPr="00B71D20" w:rsidRDefault="00425E57" w:rsidP="00E12B44">
            <w:pPr>
              <w:jc w:val="center"/>
              <w:rPr>
                <w:color w:val="000000"/>
                <w:lang w:val="en-HK"/>
              </w:rPr>
            </w:pPr>
            <w:r>
              <w:rPr>
                <w:color w:val="000000"/>
                <w:lang w:val="en-HK"/>
              </w:rPr>
              <w:t>2</w:t>
            </w:r>
          </w:p>
        </w:tc>
      </w:tr>
      <w:tr w:rsidR="00425E57" w:rsidRPr="00B71D20" w14:paraId="06089920" w14:textId="77777777" w:rsidTr="0095215C">
        <w:trPr>
          <w:tblCellSpacing w:w="15" w:type="dxa"/>
        </w:trPr>
        <w:tc>
          <w:tcPr>
            <w:tcW w:w="232" w:type="pct"/>
            <w:shd w:val="clear" w:color="auto" w:fill="FFFFFF"/>
            <w:vAlign w:val="center"/>
          </w:tcPr>
          <w:p w14:paraId="3A4E566A" w14:textId="77777777" w:rsidR="00425E57" w:rsidRPr="00B71D20" w:rsidRDefault="00425E57" w:rsidP="00E12B44">
            <w:pPr>
              <w:jc w:val="center"/>
              <w:rPr>
                <w:color w:val="000000"/>
              </w:rPr>
            </w:pPr>
            <w:r w:rsidRPr="00B71D20">
              <w:rPr>
                <w:color w:val="000000"/>
              </w:rPr>
              <w:t>6</w:t>
            </w:r>
          </w:p>
        </w:tc>
        <w:tc>
          <w:tcPr>
            <w:tcW w:w="310" w:type="pct"/>
            <w:shd w:val="clear" w:color="auto" w:fill="FFFFFF"/>
            <w:vAlign w:val="center"/>
          </w:tcPr>
          <w:p w14:paraId="6A55EE35" w14:textId="77777777" w:rsidR="00425E57" w:rsidRPr="00B71D20" w:rsidRDefault="00425E57" w:rsidP="00E12B44">
            <w:pPr>
              <w:jc w:val="center"/>
              <w:rPr>
                <w:color w:val="000000"/>
              </w:rPr>
            </w:pPr>
            <w:r w:rsidRPr="00B71D20">
              <w:rPr>
                <w:color w:val="000000"/>
                <w:lang w:val="en-HK"/>
              </w:rPr>
              <w:t>981</w:t>
            </w:r>
          </w:p>
        </w:tc>
        <w:tc>
          <w:tcPr>
            <w:tcW w:w="2631" w:type="pct"/>
            <w:shd w:val="clear" w:color="auto" w:fill="FFFFFF"/>
            <w:vAlign w:val="center"/>
          </w:tcPr>
          <w:p w14:paraId="7DA04EF4" w14:textId="77777777" w:rsidR="00425E57" w:rsidRPr="00B71D20" w:rsidRDefault="00425E57" w:rsidP="00E12B44">
            <w:pPr>
              <w:rPr>
                <w:color w:val="000000"/>
                <w:lang w:val="en-GB"/>
              </w:rPr>
            </w:pPr>
            <w:r w:rsidRPr="00B71D20">
              <w:rPr>
                <w:color w:val="000000"/>
                <w:lang w:val="en-GB"/>
              </w:rPr>
              <w:t>Semiconductor Manufactur</w:t>
            </w:r>
            <w:r>
              <w:rPr>
                <w:color w:val="000000"/>
                <w:lang w:val="en-GB"/>
              </w:rPr>
              <w:t xml:space="preserve">ing International Corporation </w:t>
            </w:r>
          </w:p>
        </w:tc>
        <w:tc>
          <w:tcPr>
            <w:tcW w:w="419" w:type="pct"/>
            <w:shd w:val="clear" w:color="auto" w:fill="FFFFFF"/>
          </w:tcPr>
          <w:p w14:paraId="0A01CF78" w14:textId="77777777" w:rsidR="00425E57" w:rsidRPr="00B71D20" w:rsidRDefault="00425E57" w:rsidP="00E12B44">
            <w:pPr>
              <w:jc w:val="center"/>
              <w:rPr>
                <w:color w:val="000000"/>
              </w:rPr>
            </w:pPr>
            <w:r w:rsidRPr="00B71D20">
              <w:rPr>
                <w:color w:val="000000"/>
                <w:lang w:val="en-HK"/>
              </w:rPr>
              <w:t>SMC</w:t>
            </w:r>
          </w:p>
        </w:tc>
        <w:tc>
          <w:tcPr>
            <w:tcW w:w="564" w:type="pct"/>
            <w:shd w:val="clear" w:color="auto" w:fill="FFFFFF"/>
          </w:tcPr>
          <w:p w14:paraId="0280E692" w14:textId="77777777" w:rsidR="00425E57" w:rsidRPr="00B71D20" w:rsidRDefault="00425E57" w:rsidP="00E12B44">
            <w:pPr>
              <w:jc w:val="center"/>
              <w:rPr>
                <w:color w:val="000000"/>
              </w:rPr>
            </w:pPr>
            <w:r>
              <w:rPr>
                <w:color w:val="000000"/>
                <w:lang w:val="en-HK"/>
              </w:rPr>
              <w:t>5</w:t>
            </w:r>
            <w:r w:rsidRPr="00B71D20">
              <w:rPr>
                <w:color w:val="000000"/>
                <w:lang w:val="en-HK"/>
              </w:rPr>
              <w:t>,000</w:t>
            </w:r>
          </w:p>
        </w:tc>
        <w:tc>
          <w:tcPr>
            <w:tcW w:w="419" w:type="pct"/>
            <w:shd w:val="clear" w:color="auto" w:fill="FFFFFF"/>
          </w:tcPr>
          <w:p w14:paraId="261A1674" w14:textId="77777777" w:rsidR="00425E57" w:rsidRPr="00B71D20" w:rsidRDefault="00425E57" w:rsidP="00E12B44">
            <w:pPr>
              <w:jc w:val="center"/>
              <w:rPr>
                <w:color w:val="000000"/>
              </w:rPr>
            </w:pPr>
            <w:r>
              <w:rPr>
                <w:color w:val="000000"/>
                <w:lang w:val="en-HK"/>
              </w:rPr>
              <w:t>1</w:t>
            </w:r>
            <w:r w:rsidRPr="00B71D20">
              <w:rPr>
                <w:color w:val="000000"/>
                <w:lang w:val="en-HK"/>
              </w:rPr>
              <w:t>0</w:t>
            </w:r>
          </w:p>
        </w:tc>
        <w:tc>
          <w:tcPr>
            <w:tcW w:w="304" w:type="pct"/>
            <w:shd w:val="clear" w:color="auto" w:fill="FFFFFF"/>
          </w:tcPr>
          <w:p w14:paraId="51DC2873" w14:textId="77777777" w:rsidR="00425E57" w:rsidRPr="00B71D20" w:rsidRDefault="00425E57" w:rsidP="00E12B44">
            <w:pPr>
              <w:jc w:val="center"/>
              <w:rPr>
                <w:color w:val="000000"/>
                <w:lang w:val="en-HK"/>
              </w:rPr>
            </w:pPr>
            <w:r>
              <w:rPr>
                <w:color w:val="000000"/>
                <w:lang w:val="en-HK"/>
              </w:rPr>
              <w:t>1</w:t>
            </w:r>
          </w:p>
        </w:tc>
      </w:tr>
      <w:tr w:rsidR="00425E57" w:rsidRPr="00B71D20" w14:paraId="369B58EC" w14:textId="77777777" w:rsidTr="0095215C">
        <w:trPr>
          <w:tblCellSpacing w:w="15" w:type="dxa"/>
        </w:trPr>
        <w:tc>
          <w:tcPr>
            <w:tcW w:w="232" w:type="pct"/>
            <w:shd w:val="clear" w:color="auto" w:fill="FFFFFF"/>
            <w:vAlign w:val="center"/>
          </w:tcPr>
          <w:p w14:paraId="12E70FD5" w14:textId="77777777" w:rsidR="00425E57" w:rsidRPr="00B71D20" w:rsidRDefault="00425E57" w:rsidP="00E12B44">
            <w:pPr>
              <w:jc w:val="center"/>
              <w:rPr>
                <w:color w:val="000000"/>
              </w:rPr>
            </w:pPr>
            <w:r w:rsidRPr="00B71D20">
              <w:rPr>
                <w:color w:val="000000"/>
              </w:rPr>
              <w:t>7</w:t>
            </w:r>
          </w:p>
        </w:tc>
        <w:tc>
          <w:tcPr>
            <w:tcW w:w="310" w:type="pct"/>
            <w:shd w:val="clear" w:color="auto" w:fill="FFFFFF"/>
            <w:vAlign w:val="center"/>
          </w:tcPr>
          <w:p w14:paraId="4557227D" w14:textId="77777777" w:rsidR="00425E57" w:rsidRPr="00B71D20" w:rsidRDefault="00425E57" w:rsidP="00E12B44">
            <w:pPr>
              <w:jc w:val="center"/>
              <w:rPr>
                <w:color w:val="000000"/>
              </w:rPr>
            </w:pPr>
            <w:r w:rsidRPr="00B71D20">
              <w:rPr>
                <w:color w:val="000000"/>
                <w:lang w:val="en-HK"/>
              </w:rPr>
              <w:t>998</w:t>
            </w:r>
          </w:p>
        </w:tc>
        <w:tc>
          <w:tcPr>
            <w:tcW w:w="2631" w:type="pct"/>
            <w:shd w:val="clear" w:color="auto" w:fill="FFFFFF"/>
            <w:vAlign w:val="center"/>
          </w:tcPr>
          <w:p w14:paraId="3AD2F385" w14:textId="77777777" w:rsidR="00425E57" w:rsidRPr="00B71D20" w:rsidRDefault="00425E57" w:rsidP="00E12B44">
            <w:pPr>
              <w:rPr>
                <w:color w:val="000000"/>
                <w:lang w:val="en-GB"/>
              </w:rPr>
            </w:pPr>
            <w:r w:rsidRPr="00B71D20">
              <w:rPr>
                <w:color w:val="000000"/>
                <w:lang w:val="en-GB"/>
              </w:rPr>
              <w:t>Chin</w:t>
            </w:r>
            <w:r>
              <w:rPr>
                <w:color w:val="000000"/>
                <w:lang w:val="en-GB"/>
              </w:rPr>
              <w:t>a CITIC Bank Corporation Ltd.</w:t>
            </w:r>
          </w:p>
        </w:tc>
        <w:tc>
          <w:tcPr>
            <w:tcW w:w="419" w:type="pct"/>
            <w:shd w:val="clear" w:color="auto" w:fill="FFFFFF"/>
            <w:vAlign w:val="center"/>
          </w:tcPr>
          <w:p w14:paraId="49D5148D" w14:textId="77777777" w:rsidR="00425E57" w:rsidRPr="00B71D20" w:rsidRDefault="00425E57" w:rsidP="00E12B44">
            <w:pPr>
              <w:jc w:val="center"/>
              <w:rPr>
                <w:color w:val="000000"/>
              </w:rPr>
            </w:pPr>
            <w:r w:rsidRPr="00B71D20">
              <w:rPr>
                <w:color w:val="000000"/>
                <w:lang w:val="en-HK"/>
              </w:rPr>
              <w:t>CTB</w:t>
            </w:r>
          </w:p>
        </w:tc>
        <w:tc>
          <w:tcPr>
            <w:tcW w:w="564" w:type="pct"/>
            <w:shd w:val="clear" w:color="auto" w:fill="FFFFFF"/>
            <w:vAlign w:val="center"/>
          </w:tcPr>
          <w:p w14:paraId="0E8239E5" w14:textId="77777777" w:rsidR="00425E57" w:rsidRPr="00B71D20" w:rsidRDefault="00425E57" w:rsidP="00E12B44">
            <w:pPr>
              <w:jc w:val="center"/>
              <w:rPr>
                <w:color w:val="000000"/>
              </w:rPr>
            </w:pPr>
            <w:r>
              <w:rPr>
                <w:color w:val="000000"/>
                <w:lang w:val="en-HK"/>
              </w:rPr>
              <w:t>2</w:t>
            </w:r>
            <w:r w:rsidRPr="00B71D20">
              <w:rPr>
                <w:color w:val="000000"/>
                <w:lang w:val="en-HK"/>
              </w:rPr>
              <w:t>0,000</w:t>
            </w:r>
          </w:p>
        </w:tc>
        <w:tc>
          <w:tcPr>
            <w:tcW w:w="419" w:type="pct"/>
            <w:shd w:val="clear" w:color="auto" w:fill="FFFFFF"/>
          </w:tcPr>
          <w:p w14:paraId="34F3C369" w14:textId="77777777" w:rsidR="00425E57" w:rsidRPr="00B71D20" w:rsidRDefault="00425E57" w:rsidP="00E12B44">
            <w:pPr>
              <w:jc w:val="center"/>
              <w:rPr>
                <w:color w:val="000000"/>
              </w:rPr>
            </w:pPr>
            <w:r>
              <w:rPr>
                <w:color w:val="000000"/>
                <w:lang w:val="en-HK"/>
              </w:rPr>
              <w:t>2</w:t>
            </w:r>
            <w:r w:rsidRPr="00B71D20">
              <w:rPr>
                <w:color w:val="000000"/>
                <w:lang w:val="en-HK"/>
              </w:rPr>
              <w:t>0</w:t>
            </w:r>
          </w:p>
        </w:tc>
        <w:tc>
          <w:tcPr>
            <w:tcW w:w="304" w:type="pct"/>
            <w:shd w:val="clear" w:color="auto" w:fill="FFFFFF"/>
          </w:tcPr>
          <w:p w14:paraId="069C55FC" w14:textId="77777777" w:rsidR="00425E57" w:rsidRDefault="00425E57" w:rsidP="00E12B44">
            <w:pPr>
              <w:jc w:val="center"/>
              <w:rPr>
                <w:color w:val="000000"/>
                <w:lang w:val="en-HK"/>
              </w:rPr>
            </w:pPr>
            <w:r>
              <w:rPr>
                <w:color w:val="000000"/>
                <w:lang w:val="en-HK"/>
              </w:rPr>
              <w:t>1</w:t>
            </w:r>
          </w:p>
        </w:tc>
      </w:tr>
      <w:tr w:rsidR="00425E57" w:rsidRPr="00B71D20" w14:paraId="4693AD3A" w14:textId="77777777" w:rsidTr="0095215C">
        <w:trPr>
          <w:tblCellSpacing w:w="15" w:type="dxa"/>
        </w:trPr>
        <w:tc>
          <w:tcPr>
            <w:tcW w:w="232" w:type="pct"/>
            <w:shd w:val="clear" w:color="auto" w:fill="FFFFFF"/>
            <w:vAlign w:val="center"/>
          </w:tcPr>
          <w:p w14:paraId="00AF2E4E" w14:textId="77777777" w:rsidR="00425E57" w:rsidRPr="00B71D20" w:rsidRDefault="00425E57" w:rsidP="00E12B44">
            <w:pPr>
              <w:jc w:val="center"/>
              <w:rPr>
                <w:color w:val="000000"/>
              </w:rPr>
            </w:pPr>
            <w:r w:rsidRPr="00B71D20">
              <w:rPr>
                <w:color w:val="000000"/>
              </w:rPr>
              <w:t>8</w:t>
            </w:r>
          </w:p>
        </w:tc>
        <w:tc>
          <w:tcPr>
            <w:tcW w:w="310" w:type="pct"/>
            <w:shd w:val="clear" w:color="auto" w:fill="FFFFFF"/>
            <w:vAlign w:val="center"/>
          </w:tcPr>
          <w:p w14:paraId="5B900E45" w14:textId="77777777" w:rsidR="00425E57" w:rsidRPr="00B71D20" w:rsidRDefault="00425E57" w:rsidP="00E12B44">
            <w:pPr>
              <w:jc w:val="center"/>
              <w:rPr>
                <w:color w:val="000000"/>
              </w:rPr>
            </w:pPr>
            <w:r w:rsidRPr="00B71D20">
              <w:rPr>
                <w:color w:val="000000"/>
                <w:lang w:val="en-HK"/>
              </w:rPr>
              <w:t>1055</w:t>
            </w:r>
          </w:p>
        </w:tc>
        <w:tc>
          <w:tcPr>
            <w:tcW w:w="2631" w:type="pct"/>
            <w:shd w:val="clear" w:color="auto" w:fill="FFFFFF"/>
            <w:vAlign w:val="center"/>
          </w:tcPr>
          <w:p w14:paraId="40806627" w14:textId="77777777" w:rsidR="00425E57" w:rsidRPr="00B71D20" w:rsidRDefault="00425E57" w:rsidP="00E12B44">
            <w:pPr>
              <w:rPr>
                <w:color w:val="000000"/>
                <w:lang w:val="en-GB"/>
              </w:rPr>
            </w:pPr>
            <w:r w:rsidRPr="00B71D20">
              <w:rPr>
                <w:color w:val="000000"/>
                <w:lang w:val="en-GB"/>
              </w:rPr>
              <w:t>Ch</w:t>
            </w:r>
            <w:r>
              <w:rPr>
                <w:color w:val="000000"/>
                <w:lang w:val="en-GB"/>
              </w:rPr>
              <w:t>ina Southern Airlines Co. Ltd.</w:t>
            </w:r>
          </w:p>
        </w:tc>
        <w:tc>
          <w:tcPr>
            <w:tcW w:w="419" w:type="pct"/>
            <w:shd w:val="clear" w:color="auto" w:fill="FFFFFF"/>
            <w:vAlign w:val="center"/>
          </w:tcPr>
          <w:p w14:paraId="18DBB97E" w14:textId="77777777" w:rsidR="00425E57" w:rsidRPr="00B71D20" w:rsidRDefault="00425E57" w:rsidP="00E12B44">
            <w:pPr>
              <w:jc w:val="center"/>
              <w:rPr>
                <w:color w:val="000000"/>
              </w:rPr>
            </w:pPr>
            <w:r w:rsidRPr="00B71D20">
              <w:rPr>
                <w:color w:val="000000"/>
                <w:lang w:val="en-HK"/>
              </w:rPr>
              <w:t>SOA</w:t>
            </w:r>
          </w:p>
        </w:tc>
        <w:tc>
          <w:tcPr>
            <w:tcW w:w="564" w:type="pct"/>
            <w:shd w:val="clear" w:color="auto" w:fill="FFFFFF"/>
            <w:vAlign w:val="center"/>
          </w:tcPr>
          <w:p w14:paraId="4067C9A6"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68AFCBF4" w14:textId="77777777" w:rsidR="00425E57" w:rsidRPr="00B71D20" w:rsidRDefault="00425E57" w:rsidP="00E12B44">
            <w:pPr>
              <w:jc w:val="center"/>
              <w:rPr>
                <w:color w:val="000000"/>
              </w:rPr>
            </w:pPr>
            <w:r w:rsidRPr="00B71D20">
              <w:rPr>
                <w:color w:val="000000"/>
                <w:lang w:val="en-HK"/>
              </w:rPr>
              <w:t>5</w:t>
            </w:r>
          </w:p>
        </w:tc>
        <w:tc>
          <w:tcPr>
            <w:tcW w:w="304" w:type="pct"/>
            <w:shd w:val="clear" w:color="auto" w:fill="FFFFFF"/>
          </w:tcPr>
          <w:p w14:paraId="3B304A00" w14:textId="77777777" w:rsidR="00425E57" w:rsidRPr="00B71D20" w:rsidRDefault="00425E57" w:rsidP="00E12B44">
            <w:pPr>
              <w:jc w:val="center"/>
              <w:rPr>
                <w:color w:val="000000"/>
                <w:lang w:val="en-HK"/>
              </w:rPr>
            </w:pPr>
            <w:r>
              <w:rPr>
                <w:color w:val="000000"/>
                <w:lang w:val="en-HK"/>
              </w:rPr>
              <w:t>1</w:t>
            </w:r>
          </w:p>
        </w:tc>
      </w:tr>
      <w:tr w:rsidR="00425E57" w:rsidRPr="00B71D20" w14:paraId="3F6D4410" w14:textId="77777777" w:rsidTr="0095215C">
        <w:trPr>
          <w:tblCellSpacing w:w="15" w:type="dxa"/>
        </w:trPr>
        <w:tc>
          <w:tcPr>
            <w:tcW w:w="232" w:type="pct"/>
            <w:shd w:val="clear" w:color="auto" w:fill="FFFFFF"/>
            <w:vAlign w:val="center"/>
          </w:tcPr>
          <w:p w14:paraId="2A6971FF" w14:textId="77777777" w:rsidR="00425E57" w:rsidRPr="00B71D20" w:rsidRDefault="00425E57" w:rsidP="00E12B44">
            <w:pPr>
              <w:jc w:val="center"/>
              <w:rPr>
                <w:color w:val="000000"/>
              </w:rPr>
            </w:pPr>
            <w:r w:rsidRPr="00B71D20">
              <w:rPr>
                <w:color w:val="000000"/>
              </w:rPr>
              <w:t>9</w:t>
            </w:r>
          </w:p>
        </w:tc>
        <w:tc>
          <w:tcPr>
            <w:tcW w:w="310" w:type="pct"/>
            <w:shd w:val="clear" w:color="auto" w:fill="FFFFFF"/>
            <w:vAlign w:val="center"/>
          </w:tcPr>
          <w:p w14:paraId="2A471B01" w14:textId="77777777" w:rsidR="00425E57" w:rsidRPr="00B71D20" w:rsidRDefault="00425E57" w:rsidP="00E12B44">
            <w:pPr>
              <w:jc w:val="center"/>
              <w:rPr>
                <w:color w:val="000000"/>
              </w:rPr>
            </w:pPr>
            <w:r w:rsidRPr="00B71D20">
              <w:rPr>
                <w:color w:val="000000"/>
                <w:lang w:val="en-HK"/>
              </w:rPr>
              <w:t>1060</w:t>
            </w:r>
          </w:p>
        </w:tc>
        <w:tc>
          <w:tcPr>
            <w:tcW w:w="2631" w:type="pct"/>
            <w:shd w:val="clear" w:color="auto" w:fill="FFFFFF"/>
            <w:vAlign w:val="center"/>
          </w:tcPr>
          <w:p w14:paraId="04E3C744" w14:textId="77777777" w:rsidR="00425E57" w:rsidRPr="00B71D20" w:rsidRDefault="00425E57" w:rsidP="00E12B44">
            <w:pPr>
              <w:rPr>
                <w:color w:val="000000"/>
                <w:lang w:val="en-GB"/>
              </w:rPr>
            </w:pPr>
            <w:r>
              <w:rPr>
                <w:color w:val="000000"/>
                <w:lang w:val="en-GB"/>
              </w:rPr>
              <w:t>Alibaba Pictures Group Ltd.</w:t>
            </w:r>
          </w:p>
        </w:tc>
        <w:tc>
          <w:tcPr>
            <w:tcW w:w="419" w:type="pct"/>
            <w:shd w:val="clear" w:color="auto" w:fill="FFFFFF"/>
            <w:vAlign w:val="center"/>
          </w:tcPr>
          <w:p w14:paraId="31601D46" w14:textId="77777777" w:rsidR="00425E57" w:rsidRPr="00B71D20" w:rsidRDefault="00425E57" w:rsidP="00E12B44">
            <w:pPr>
              <w:jc w:val="center"/>
              <w:rPr>
                <w:color w:val="000000"/>
              </w:rPr>
            </w:pPr>
            <w:r w:rsidRPr="00B71D20">
              <w:rPr>
                <w:color w:val="000000"/>
                <w:lang w:val="en-HK"/>
              </w:rPr>
              <w:t>ALI</w:t>
            </w:r>
          </w:p>
        </w:tc>
        <w:tc>
          <w:tcPr>
            <w:tcW w:w="564" w:type="pct"/>
            <w:shd w:val="clear" w:color="auto" w:fill="FFFFFF"/>
            <w:vAlign w:val="center"/>
          </w:tcPr>
          <w:p w14:paraId="4F4FC84B" w14:textId="77777777" w:rsidR="00425E57" w:rsidRPr="00B71D20" w:rsidRDefault="00425E57" w:rsidP="00E12B44">
            <w:pPr>
              <w:jc w:val="center"/>
              <w:rPr>
                <w:color w:val="000000"/>
              </w:rPr>
            </w:pPr>
            <w:r w:rsidRPr="00B71D20">
              <w:rPr>
                <w:color w:val="000000"/>
                <w:lang w:val="en-HK"/>
              </w:rPr>
              <w:t>50,000</w:t>
            </w:r>
          </w:p>
        </w:tc>
        <w:tc>
          <w:tcPr>
            <w:tcW w:w="419" w:type="pct"/>
            <w:shd w:val="clear" w:color="auto" w:fill="FFFFFF"/>
            <w:vAlign w:val="center"/>
          </w:tcPr>
          <w:p w14:paraId="42C3B21F" w14:textId="77777777" w:rsidR="00425E57" w:rsidRPr="00B71D20" w:rsidRDefault="00425E57" w:rsidP="00E12B44">
            <w:pPr>
              <w:jc w:val="center"/>
              <w:rPr>
                <w:color w:val="000000"/>
              </w:rPr>
            </w:pPr>
            <w:r w:rsidRPr="00B71D20">
              <w:rPr>
                <w:color w:val="000000"/>
                <w:lang w:val="en-HK"/>
              </w:rPr>
              <w:t>5</w:t>
            </w:r>
          </w:p>
        </w:tc>
        <w:tc>
          <w:tcPr>
            <w:tcW w:w="304" w:type="pct"/>
            <w:shd w:val="clear" w:color="auto" w:fill="FFFFFF"/>
          </w:tcPr>
          <w:p w14:paraId="68953709" w14:textId="77777777" w:rsidR="00425E57" w:rsidRPr="00B71D20" w:rsidRDefault="00425E57" w:rsidP="00E12B44">
            <w:pPr>
              <w:jc w:val="center"/>
              <w:rPr>
                <w:color w:val="000000"/>
                <w:lang w:val="en-HK"/>
              </w:rPr>
            </w:pPr>
            <w:r>
              <w:rPr>
                <w:color w:val="000000"/>
                <w:lang w:val="en-HK"/>
              </w:rPr>
              <w:t>1</w:t>
            </w:r>
          </w:p>
        </w:tc>
      </w:tr>
      <w:tr w:rsidR="00425E57" w:rsidRPr="00B71D20" w14:paraId="72DC235B" w14:textId="77777777" w:rsidTr="0095215C">
        <w:trPr>
          <w:tblCellSpacing w:w="15" w:type="dxa"/>
        </w:trPr>
        <w:tc>
          <w:tcPr>
            <w:tcW w:w="232" w:type="pct"/>
            <w:shd w:val="clear" w:color="auto" w:fill="FFFFFF"/>
            <w:vAlign w:val="center"/>
          </w:tcPr>
          <w:p w14:paraId="5DD8F3F3" w14:textId="77777777" w:rsidR="00425E57" w:rsidRPr="00B71D20" w:rsidRDefault="00425E57" w:rsidP="00E12B44">
            <w:pPr>
              <w:jc w:val="center"/>
              <w:rPr>
                <w:color w:val="000000"/>
              </w:rPr>
            </w:pPr>
            <w:r>
              <w:rPr>
                <w:color w:val="000000"/>
              </w:rPr>
              <w:t>10</w:t>
            </w:r>
          </w:p>
        </w:tc>
        <w:tc>
          <w:tcPr>
            <w:tcW w:w="310" w:type="pct"/>
            <w:shd w:val="clear" w:color="auto" w:fill="FFFFFF"/>
            <w:vAlign w:val="center"/>
          </w:tcPr>
          <w:p w14:paraId="67139ED2" w14:textId="77777777" w:rsidR="00425E57" w:rsidRPr="00B71D20" w:rsidRDefault="00425E57" w:rsidP="00E12B44">
            <w:pPr>
              <w:jc w:val="center"/>
              <w:rPr>
                <w:color w:val="000000"/>
              </w:rPr>
            </w:pPr>
            <w:r w:rsidRPr="00B71D20">
              <w:rPr>
                <w:color w:val="000000"/>
                <w:lang w:val="en-HK"/>
              </w:rPr>
              <w:t>1288</w:t>
            </w:r>
          </w:p>
        </w:tc>
        <w:tc>
          <w:tcPr>
            <w:tcW w:w="2631" w:type="pct"/>
            <w:shd w:val="clear" w:color="auto" w:fill="FFFFFF"/>
            <w:vAlign w:val="center"/>
          </w:tcPr>
          <w:p w14:paraId="76C0CD8E" w14:textId="77777777" w:rsidR="00425E57" w:rsidRPr="00B71D20" w:rsidRDefault="00425E57" w:rsidP="00E12B44">
            <w:pPr>
              <w:rPr>
                <w:color w:val="000000"/>
                <w:lang w:val="en-GB"/>
              </w:rPr>
            </w:pPr>
            <w:r>
              <w:rPr>
                <w:color w:val="000000"/>
                <w:lang w:val="en-GB"/>
              </w:rPr>
              <w:t>Agricultural Bank of China Ltd.</w:t>
            </w:r>
          </w:p>
        </w:tc>
        <w:tc>
          <w:tcPr>
            <w:tcW w:w="419" w:type="pct"/>
            <w:shd w:val="clear" w:color="auto" w:fill="FFFFFF"/>
            <w:vAlign w:val="center"/>
          </w:tcPr>
          <w:p w14:paraId="5D9AB6AC" w14:textId="77777777" w:rsidR="00425E57" w:rsidRDefault="00425E57" w:rsidP="00E12B44">
            <w:pPr>
              <w:jc w:val="center"/>
              <w:rPr>
                <w:color w:val="000000"/>
                <w:lang w:val="en-HK"/>
              </w:rPr>
            </w:pPr>
            <w:r w:rsidRPr="00B71D20">
              <w:rPr>
                <w:color w:val="000000"/>
                <w:lang w:val="en-HK"/>
              </w:rPr>
              <w:t>ABC</w:t>
            </w:r>
            <w:r>
              <w:rPr>
                <w:color w:val="000000"/>
                <w:lang w:val="en-HK"/>
              </w:rPr>
              <w:t>/</w:t>
            </w:r>
          </w:p>
          <w:p w14:paraId="135EC884" w14:textId="302E2D5F" w:rsidR="00425E57" w:rsidRPr="00B71D20" w:rsidRDefault="00425E57" w:rsidP="00E12B44">
            <w:pPr>
              <w:jc w:val="center"/>
              <w:rPr>
                <w:color w:val="000000"/>
              </w:rPr>
            </w:pPr>
            <w:r>
              <w:rPr>
                <w:color w:val="000000"/>
                <w:lang w:val="en-HK"/>
              </w:rPr>
              <w:t>ABA</w:t>
            </w:r>
            <w:r w:rsidR="00A9377F">
              <w:rPr>
                <w:color w:val="000000"/>
                <w:lang w:val="en-HK"/>
              </w:rPr>
              <w:t>*</w:t>
            </w:r>
          </w:p>
        </w:tc>
        <w:tc>
          <w:tcPr>
            <w:tcW w:w="564" w:type="pct"/>
            <w:shd w:val="clear" w:color="auto" w:fill="FFFFFF"/>
            <w:vAlign w:val="center"/>
          </w:tcPr>
          <w:p w14:paraId="363F363D" w14:textId="77777777" w:rsidR="00425E57" w:rsidRDefault="00425E57" w:rsidP="00E12B44">
            <w:pPr>
              <w:jc w:val="center"/>
              <w:rPr>
                <w:color w:val="000000"/>
                <w:lang w:val="en-HK"/>
              </w:rPr>
            </w:pPr>
            <w:r w:rsidRPr="00B71D20">
              <w:rPr>
                <w:color w:val="000000"/>
                <w:lang w:val="en-HK"/>
              </w:rPr>
              <w:t>10,000</w:t>
            </w:r>
            <w:r>
              <w:rPr>
                <w:color w:val="000000"/>
                <w:lang w:val="en-HK"/>
              </w:rPr>
              <w:t>/</w:t>
            </w:r>
          </w:p>
          <w:p w14:paraId="3210842C" w14:textId="77777777" w:rsidR="00425E57" w:rsidRPr="00B71D20" w:rsidRDefault="00425E57" w:rsidP="00E12B44">
            <w:pPr>
              <w:jc w:val="center"/>
              <w:rPr>
                <w:color w:val="000000"/>
              </w:rPr>
            </w:pPr>
            <w:r>
              <w:rPr>
                <w:color w:val="000000"/>
                <w:lang w:val="en-HK"/>
              </w:rPr>
              <w:t>50,000</w:t>
            </w:r>
          </w:p>
        </w:tc>
        <w:tc>
          <w:tcPr>
            <w:tcW w:w="419" w:type="pct"/>
            <w:shd w:val="clear" w:color="auto" w:fill="FFFFFF"/>
            <w:vAlign w:val="center"/>
          </w:tcPr>
          <w:p w14:paraId="3EAB66CC" w14:textId="77777777" w:rsidR="00425E57" w:rsidRDefault="00425E57" w:rsidP="00E12B44">
            <w:pPr>
              <w:jc w:val="center"/>
              <w:rPr>
                <w:color w:val="000000"/>
                <w:lang w:val="en-HK"/>
              </w:rPr>
            </w:pPr>
            <w:r>
              <w:rPr>
                <w:color w:val="000000"/>
                <w:lang w:val="en-HK"/>
              </w:rPr>
              <w:t>10/</w:t>
            </w:r>
          </w:p>
          <w:p w14:paraId="50937FA4" w14:textId="77777777" w:rsidR="00425E57" w:rsidRPr="00B71D20" w:rsidRDefault="00425E57" w:rsidP="00E12B44">
            <w:pPr>
              <w:jc w:val="center"/>
              <w:rPr>
                <w:color w:val="000000"/>
              </w:rPr>
            </w:pPr>
            <w:r>
              <w:rPr>
                <w:color w:val="000000"/>
                <w:lang w:val="en-HK"/>
              </w:rPr>
              <w:t>5</w:t>
            </w:r>
            <w:r w:rsidRPr="00B71D20">
              <w:rPr>
                <w:color w:val="000000"/>
                <w:lang w:val="en-HK"/>
              </w:rPr>
              <w:t>0</w:t>
            </w:r>
          </w:p>
        </w:tc>
        <w:tc>
          <w:tcPr>
            <w:tcW w:w="304" w:type="pct"/>
            <w:shd w:val="clear" w:color="auto" w:fill="FFFFFF"/>
            <w:vAlign w:val="center"/>
          </w:tcPr>
          <w:p w14:paraId="4594A71F" w14:textId="77777777" w:rsidR="00425E57" w:rsidRDefault="00425E57" w:rsidP="00E12B44">
            <w:pPr>
              <w:jc w:val="center"/>
              <w:rPr>
                <w:color w:val="000000"/>
                <w:lang w:val="en-HK"/>
              </w:rPr>
            </w:pPr>
            <w:r>
              <w:rPr>
                <w:color w:val="000000"/>
                <w:lang w:val="en-HK"/>
              </w:rPr>
              <w:t>1</w:t>
            </w:r>
          </w:p>
        </w:tc>
      </w:tr>
      <w:tr w:rsidR="00425E57" w:rsidRPr="00B71D20" w14:paraId="194AAB41" w14:textId="77777777" w:rsidTr="0095215C">
        <w:trPr>
          <w:tblCellSpacing w:w="15" w:type="dxa"/>
        </w:trPr>
        <w:tc>
          <w:tcPr>
            <w:tcW w:w="232" w:type="pct"/>
            <w:shd w:val="clear" w:color="auto" w:fill="auto"/>
            <w:vAlign w:val="center"/>
          </w:tcPr>
          <w:p w14:paraId="024544C3" w14:textId="77777777" w:rsidR="00425E57" w:rsidRPr="00EA0A50" w:rsidRDefault="00425E57" w:rsidP="00E12B44">
            <w:pPr>
              <w:jc w:val="center"/>
              <w:rPr>
                <w:color w:val="000000"/>
              </w:rPr>
            </w:pPr>
            <w:r>
              <w:rPr>
                <w:color w:val="000000"/>
              </w:rPr>
              <w:t>11</w:t>
            </w:r>
          </w:p>
        </w:tc>
        <w:tc>
          <w:tcPr>
            <w:tcW w:w="310" w:type="pct"/>
            <w:shd w:val="clear" w:color="auto" w:fill="auto"/>
            <w:vAlign w:val="center"/>
          </w:tcPr>
          <w:p w14:paraId="366B9321" w14:textId="77777777" w:rsidR="00425E57" w:rsidRPr="00EA0A50" w:rsidRDefault="00425E57" w:rsidP="00E12B44">
            <w:pPr>
              <w:jc w:val="center"/>
              <w:rPr>
                <w:lang w:val="en-HK"/>
              </w:rPr>
            </w:pPr>
            <w:r w:rsidRPr="00EA0A50">
              <w:rPr>
                <w:lang w:val="en-HK"/>
              </w:rPr>
              <w:t>1299</w:t>
            </w:r>
          </w:p>
        </w:tc>
        <w:tc>
          <w:tcPr>
            <w:tcW w:w="2631" w:type="pct"/>
            <w:shd w:val="clear" w:color="auto" w:fill="auto"/>
            <w:vAlign w:val="center"/>
          </w:tcPr>
          <w:p w14:paraId="57F82BDC" w14:textId="77777777" w:rsidR="00425E57" w:rsidRPr="00EA0A50" w:rsidRDefault="00425E57" w:rsidP="00E12B44">
            <w:pPr>
              <w:rPr>
                <w:lang w:val="en-GB"/>
              </w:rPr>
            </w:pPr>
            <w:r w:rsidRPr="00EA0A50">
              <w:rPr>
                <w:lang w:val="en-GB"/>
              </w:rPr>
              <w:t>AIA Group Ltd.</w:t>
            </w:r>
          </w:p>
        </w:tc>
        <w:tc>
          <w:tcPr>
            <w:tcW w:w="419" w:type="pct"/>
            <w:shd w:val="clear" w:color="auto" w:fill="auto"/>
            <w:vAlign w:val="center"/>
          </w:tcPr>
          <w:p w14:paraId="66B783B7" w14:textId="77777777" w:rsidR="00425E57" w:rsidRPr="00EA0A50" w:rsidRDefault="00425E57" w:rsidP="00E12B44">
            <w:pPr>
              <w:jc w:val="center"/>
              <w:rPr>
                <w:lang w:val="en-HK"/>
              </w:rPr>
            </w:pPr>
            <w:r w:rsidRPr="00EA0A50">
              <w:rPr>
                <w:lang w:val="en-HK"/>
              </w:rPr>
              <w:t>AIA</w:t>
            </w:r>
          </w:p>
        </w:tc>
        <w:tc>
          <w:tcPr>
            <w:tcW w:w="564" w:type="pct"/>
            <w:shd w:val="clear" w:color="auto" w:fill="auto"/>
            <w:vAlign w:val="center"/>
          </w:tcPr>
          <w:p w14:paraId="2944F9CB" w14:textId="77777777" w:rsidR="00425E57" w:rsidRPr="00EA0A50" w:rsidRDefault="00425E57" w:rsidP="00E12B44">
            <w:pPr>
              <w:jc w:val="center"/>
              <w:rPr>
                <w:lang w:val="en-HK"/>
              </w:rPr>
            </w:pPr>
            <w:r w:rsidRPr="00EA0A50">
              <w:rPr>
                <w:lang w:val="en-HK"/>
              </w:rPr>
              <w:t>1,000</w:t>
            </w:r>
          </w:p>
        </w:tc>
        <w:tc>
          <w:tcPr>
            <w:tcW w:w="419" w:type="pct"/>
            <w:shd w:val="clear" w:color="auto" w:fill="auto"/>
            <w:vAlign w:val="center"/>
          </w:tcPr>
          <w:p w14:paraId="562FB351" w14:textId="77777777" w:rsidR="00425E57" w:rsidRPr="00EA0A50" w:rsidRDefault="00425E57" w:rsidP="00E12B44">
            <w:pPr>
              <w:jc w:val="center"/>
              <w:rPr>
                <w:lang w:val="en-HK"/>
              </w:rPr>
            </w:pPr>
            <w:r w:rsidRPr="00EA0A50">
              <w:rPr>
                <w:lang w:val="en-HK"/>
              </w:rPr>
              <w:t>5</w:t>
            </w:r>
          </w:p>
        </w:tc>
        <w:tc>
          <w:tcPr>
            <w:tcW w:w="304" w:type="pct"/>
          </w:tcPr>
          <w:p w14:paraId="7EFF0AB5" w14:textId="77777777" w:rsidR="00425E57" w:rsidRPr="00EA0A50" w:rsidRDefault="00425E57" w:rsidP="00E12B44">
            <w:pPr>
              <w:jc w:val="center"/>
              <w:rPr>
                <w:lang w:val="en-HK"/>
              </w:rPr>
            </w:pPr>
            <w:r>
              <w:rPr>
                <w:lang w:val="en-HK"/>
              </w:rPr>
              <w:t>1</w:t>
            </w:r>
          </w:p>
        </w:tc>
      </w:tr>
      <w:tr w:rsidR="00425E57" w:rsidRPr="00B71D20" w14:paraId="17A9BBA2" w14:textId="77777777" w:rsidTr="0095215C">
        <w:trPr>
          <w:tblCellSpacing w:w="15" w:type="dxa"/>
        </w:trPr>
        <w:tc>
          <w:tcPr>
            <w:tcW w:w="232" w:type="pct"/>
            <w:shd w:val="clear" w:color="auto" w:fill="FFFFFF"/>
            <w:vAlign w:val="center"/>
          </w:tcPr>
          <w:p w14:paraId="6098ACDC" w14:textId="77777777" w:rsidR="00425E57" w:rsidRPr="00B71D20" w:rsidRDefault="00425E57" w:rsidP="00E12B44">
            <w:pPr>
              <w:jc w:val="center"/>
              <w:rPr>
                <w:color w:val="000000"/>
              </w:rPr>
            </w:pPr>
            <w:r>
              <w:rPr>
                <w:color w:val="000000"/>
              </w:rPr>
              <w:t>12</w:t>
            </w:r>
          </w:p>
        </w:tc>
        <w:tc>
          <w:tcPr>
            <w:tcW w:w="310" w:type="pct"/>
            <w:shd w:val="clear" w:color="auto" w:fill="FFFFFF"/>
            <w:vAlign w:val="center"/>
          </w:tcPr>
          <w:p w14:paraId="5C2C625D" w14:textId="77777777" w:rsidR="00425E57" w:rsidRPr="00B71D20" w:rsidRDefault="00425E57" w:rsidP="00E12B44">
            <w:pPr>
              <w:jc w:val="center"/>
              <w:rPr>
                <w:color w:val="000000"/>
              </w:rPr>
            </w:pPr>
            <w:r w:rsidRPr="00B71D20">
              <w:rPr>
                <w:color w:val="000000"/>
                <w:lang w:val="en-HK"/>
              </w:rPr>
              <w:t>1336</w:t>
            </w:r>
          </w:p>
        </w:tc>
        <w:tc>
          <w:tcPr>
            <w:tcW w:w="2631" w:type="pct"/>
            <w:shd w:val="clear" w:color="auto" w:fill="FFFFFF"/>
            <w:vAlign w:val="center"/>
          </w:tcPr>
          <w:p w14:paraId="2DC67FF3" w14:textId="77777777" w:rsidR="00425E57" w:rsidRPr="00B71D20" w:rsidRDefault="00425E57" w:rsidP="00E12B44">
            <w:pPr>
              <w:rPr>
                <w:color w:val="000000"/>
                <w:lang w:val="en-GB"/>
              </w:rPr>
            </w:pPr>
            <w:r w:rsidRPr="00B71D20">
              <w:rPr>
                <w:color w:val="000000"/>
                <w:lang w:val="en-GB"/>
              </w:rPr>
              <w:t xml:space="preserve">New </w:t>
            </w:r>
            <w:r>
              <w:rPr>
                <w:color w:val="000000"/>
                <w:lang w:val="en-GB"/>
              </w:rPr>
              <w:t xml:space="preserve">China Life Insurance Co. Ltd. </w:t>
            </w:r>
          </w:p>
        </w:tc>
        <w:tc>
          <w:tcPr>
            <w:tcW w:w="419" w:type="pct"/>
            <w:shd w:val="clear" w:color="auto" w:fill="FFFFFF"/>
            <w:vAlign w:val="center"/>
          </w:tcPr>
          <w:p w14:paraId="332751EA" w14:textId="77777777" w:rsidR="00425E57" w:rsidRDefault="00425E57" w:rsidP="00E12B44">
            <w:pPr>
              <w:jc w:val="center"/>
              <w:rPr>
                <w:color w:val="000000"/>
                <w:lang w:val="en-HK"/>
              </w:rPr>
            </w:pPr>
            <w:r w:rsidRPr="00B71D20">
              <w:rPr>
                <w:color w:val="000000"/>
                <w:lang w:val="en-HK"/>
              </w:rPr>
              <w:t>NCL</w:t>
            </w:r>
            <w:r>
              <w:rPr>
                <w:color w:val="000000"/>
                <w:lang w:val="en-HK"/>
              </w:rPr>
              <w:t>/</w:t>
            </w:r>
          </w:p>
          <w:p w14:paraId="067E402C" w14:textId="768F5F63" w:rsidR="00425E57" w:rsidRPr="00B71D20" w:rsidRDefault="00425E57" w:rsidP="00E12B44">
            <w:pPr>
              <w:jc w:val="center"/>
              <w:rPr>
                <w:color w:val="000000"/>
              </w:rPr>
            </w:pPr>
            <w:r>
              <w:rPr>
                <w:color w:val="000000"/>
                <w:lang w:val="en-HK"/>
              </w:rPr>
              <w:t>NCA</w:t>
            </w:r>
            <w:r w:rsidR="00A9377F">
              <w:rPr>
                <w:color w:val="000000"/>
                <w:lang w:val="en-HK"/>
              </w:rPr>
              <w:t>*</w:t>
            </w:r>
          </w:p>
        </w:tc>
        <w:tc>
          <w:tcPr>
            <w:tcW w:w="564" w:type="pct"/>
            <w:shd w:val="clear" w:color="auto" w:fill="FFFFFF"/>
            <w:vAlign w:val="center"/>
          </w:tcPr>
          <w:p w14:paraId="34709A5F" w14:textId="77777777" w:rsidR="00425E57" w:rsidRDefault="00425E57" w:rsidP="00E12B44">
            <w:pPr>
              <w:jc w:val="center"/>
              <w:rPr>
                <w:color w:val="000000"/>
                <w:lang w:val="en-HK"/>
              </w:rPr>
            </w:pPr>
            <w:r>
              <w:rPr>
                <w:color w:val="000000"/>
                <w:lang w:val="en-HK"/>
              </w:rPr>
              <w:t>1</w:t>
            </w:r>
            <w:r w:rsidRPr="00B71D20">
              <w:rPr>
                <w:color w:val="000000"/>
                <w:lang w:val="en-HK"/>
              </w:rPr>
              <w:t>,000</w:t>
            </w:r>
            <w:r>
              <w:rPr>
                <w:color w:val="000000"/>
                <w:lang w:val="en-HK"/>
              </w:rPr>
              <w:t>/</w:t>
            </w:r>
          </w:p>
          <w:p w14:paraId="5EDF05CD" w14:textId="77777777" w:rsidR="00425E57" w:rsidRPr="00B71D20" w:rsidRDefault="00425E57" w:rsidP="00E12B44">
            <w:pPr>
              <w:jc w:val="center"/>
              <w:rPr>
                <w:color w:val="000000"/>
              </w:rPr>
            </w:pPr>
            <w:r>
              <w:rPr>
                <w:color w:val="000000"/>
                <w:lang w:val="en-HK"/>
              </w:rPr>
              <w:t>5,000</w:t>
            </w:r>
          </w:p>
        </w:tc>
        <w:tc>
          <w:tcPr>
            <w:tcW w:w="419" w:type="pct"/>
            <w:shd w:val="clear" w:color="auto" w:fill="FFFFFF"/>
            <w:vAlign w:val="center"/>
          </w:tcPr>
          <w:p w14:paraId="2CEE7AC4" w14:textId="77777777" w:rsidR="00425E57" w:rsidRDefault="00425E57" w:rsidP="00E12B44">
            <w:pPr>
              <w:jc w:val="center"/>
              <w:rPr>
                <w:color w:val="000000"/>
                <w:lang w:val="en-HK"/>
              </w:rPr>
            </w:pPr>
            <w:r>
              <w:rPr>
                <w:color w:val="000000"/>
                <w:lang w:val="en-HK"/>
              </w:rPr>
              <w:t>1</w:t>
            </w:r>
            <w:r w:rsidRPr="00B71D20">
              <w:rPr>
                <w:color w:val="000000"/>
                <w:lang w:val="en-HK"/>
              </w:rPr>
              <w:t>0</w:t>
            </w:r>
            <w:r>
              <w:rPr>
                <w:color w:val="000000"/>
                <w:lang w:val="en-HK"/>
              </w:rPr>
              <w:t>/</w:t>
            </w:r>
          </w:p>
          <w:p w14:paraId="53E87D41" w14:textId="77777777" w:rsidR="00425E57" w:rsidRPr="00B71D20" w:rsidRDefault="00425E57" w:rsidP="00E12B44">
            <w:pPr>
              <w:jc w:val="center"/>
              <w:rPr>
                <w:color w:val="000000"/>
              </w:rPr>
            </w:pPr>
            <w:r>
              <w:rPr>
                <w:color w:val="000000"/>
                <w:lang w:val="en-HK"/>
              </w:rPr>
              <w:t>50</w:t>
            </w:r>
          </w:p>
        </w:tc>
        <w:tc>
          <w:tcPr>
            <w:tcW w:w="304" w:type="pct"/>
            <w:shd w:val="clear" w:color="auto" w:fill="FFFFFF"/>
            <w:vAlign w:val="center"/>
          </w:tcPr>
          <w:p w14:paraId="191A0E77" w14:textId="77777777" w:rsidR="00425E57" w:rsidRDefault="00425E57" w:rsidP="00E12B44">
            <w:pPr>
              <w:jc w:val="center"/>
              <w:rPr>
                <w:color w:val="000000"/>
                <w:lang w:val="en-HK"/>
              </w:rPr>
            </w:pPr>
            <w:r>
              <w:rPr>
                <w:color w:val="000000"/>
                <w:lang w:val="en-HK"/>
              </w:rPr>
              <w:t>1</w:t>
            </w:r>
          </w:p>
        </w:tc>
      </w:tr>
      <w:tr w:rsidR="00425E57" w:rsidRPr="00B71D20" w14:paraId="11479550" w14:textId="77777777" w:rsidTr="0095215C">
        <w:trPr>
          <w:tblCellSpacing w:w="15" w:type="dxa"/>
        </w:trPr>
        <w:tc>
          <w:tcPr>
            <w:tcW w:w="232" w:type="pct"/>
            <w:shd w:val="clear" w:color="auto" w:fill="FFFFFF"/>
            <w:vAlign w:val="center"/>
          </w:tcPr>
          <w:p w14:paraId="658FE581" w14:textId="77777777" w:rsidR="00425E57" w:rsidRPr="00B71D20" w:rsidRDefault="00425E57" w:rsidP="00E12B44">
            <w:pPr>
              <w:jc w:val="center"/>
              <w:rPr>
                <w:color w:val="000000"/>
              </w:rPr>
            </w:pPr>
            <w:r>
              <w:rPr>
                <w:color w:val="000000"/>
              </w:rPr>
              <w:t>13</w:t>
            </w:r>
          </w:p>
        </w:tc>
        <w:tc>
          <w:tcPr>
            <w:tcW w:w="310" w:type="pct"/>
            <w:shd w:val="clear" w:color="auto" w:fill="FFFFFF"/>
            <w:vAlign w:val="center"/>
          </w:tcPr>
          <w:p w14:paraId="5C6473C8" w14:textId="77777777" w:rsidR="00425E57" w:rsidRPr="00B71D20" w:rsidRDefault="00425E57" w:rsidP="00E12B44">
            <w:pPr>
              <w:jc w:val="center"/>
              <w:rPr>
                <w:color w:val="000000"/>
              </w:rPr>
            </w:pPr>
            <w:r w:rsidRPr="00B71D20">
              <w:rPr>
                <w:color w:val="000000"/>
              </w:rPr>
              <w:t>1359</w:t>
            </w:r>
          </w:p>
        </w:tc>
        <w:tc>
          <w:tcPr>
            <w:tcW w:w="2631" w:type="pct"/>
            <w:shd w:val="clear" w:color="auto" w:fill="FFFFFF"/>
            <w:vAlign w:val="center"/>
          </w:tcPr>
          <w:p w14:paraId="14BAAB68" w14:textId="77777777" w:rsidR="00425E57" w:rsidRPr="00B71D20" w:rsidRDefault="00425E57" w:rsidP="00E12B44">
            <w:pPr>
              <w:rPr>
                <w:color w:val="000000"/>
                <w:lang w:val="en-GB"/>
              </w:rPr>
            </w:pPr>
            <w:r w:rsidRPr="00B71D20">
              <w:rPr>
                <w:color w:val="000000"/>
                <w:lang w:val="en-GB"/>
              </w:rPr>
              <w:t xml:space="preserve">China </w:t>
            </w:r>
            <w:proofErr w:type="spellStart"/>
            <w:r w:rsidRPr="00B71D20">
              <w:rPr>
                <w:color w:val="000000"/>
                <w:lang w:val="en-GB"/>
              </w:rPr>
              <w:t>C</w:t>
            </w:r>
            <w:r>
              <w:rPr>
                <w:color w:val="000000"/>
                <w:lang w:val="en-GB"/>
              </w:rPr>
              <w:t>inda</w:t>
            </w:r>
            <w:proofErr w:type="spellEnd"/>
            <w:r>
              <w:rPr>
                <w:color w:val="000000"/>
                <w:lang w:val="en-GB"/>
              </w:rPr>
              <w:t xml:space="preserve"> Asset Management Co., Ltd.</w:t>
            </w:r>
          </w:p>
        </w:tc>
        <w:tc>
          <w:tcPr>
            <w:tcW w:w="419" w:type="pct"/>
            <w:shd w:val="clear" w:color="auto" w:fill="FFFFFF"/>
            <w:vAlign w:val="center"/>
          </w:tcPr>
          <w:p w14:paraId="584E6FE6" w14:textId="77777777" w:rsidR="00425E57" w:rsidRDefault="00425E57" w:rsidP="00E12B44">
            <w:pPr>
              <w:jc w:val="center"/>
              <w:rPr>
                <w:color w:val="000000"/>
              </w:rPr>
            </w:pPr>
            <w:r w:rsidRPr="00B71D20">
              <w:rPr>
                <w:color w:val="000000"/>
              </w:rPr>
              <w:t>CDA</w:t>
            </w:r>
            <w:r>
              <w:rPr>
                <w:color w:val="000000"/>
              </w:rPr>
              <w:t>/</w:t>
            </w:r>
          </w:p>
          <w:p w14:paraId="5427B075" w14:textId="754B5CE9" w:rsidR="00425E57" w:rsidRPr="00B71D20" w:rsidRDefault="00425E57" w:rsidP="00E12B44">
            <w:pPr>
              <w:jc w:val="center"/>
              <w:rPr>
                <w:color w:val="000000"/>
              </w:rPr>
            </w:pPr>
            <w:r>
              <w:rPr>
                <w:color w:val="000000"/>
              </w:rPr>
              <w:t>CDB</w:t>
            </w:r>
            <w:r w:rsidR="00A9377F">
              <w:rPr>
                <w:color w:val="000000"/>
              </w:rPr>
              <w:t>*</w:t>
            </w:r>
          </w:p>
        </w:tc>
        <w:tc>
          <w:tcPr>
            <w:tcW w:w="564" w:type="pct"/>
            <w:shd w:val="clear" w:color="auto" w:fill="FFFFFF"/>
            <w:vAlign w:val="center"/>
          </w:tcPr>
          <w:p w14:paraId="11A9538C" w14:textId="77777777" w:rsidR="00425E57" w:rsidRDefault="00425E57" w:rsidP="00E12B44">
            <w:pPr>
              <w:jc w:val="center"/>
              <w:rPr>
                <w:color w:val="000000"/>
                <w:lang w:val="en-HK"/>
              </w:rPr>
            </w:pPr>
            <w:r>
              <w:rPr>
                <w:color w:val="000000"/>
                <w:lang w:val="en-HK"/>
              </w:rPr>
              <w:t>5</w:t>
            </w:r>
            <w:r w:rsidRPr="00B71D20">
              <w:rPr>
                <w:color w:val="000000"/>
                <w:lang w:val="en-HK"/>
              </w:rPr>
              <w:t>,000</w:t>
            </w:r>
            <w:r>
              <w:rPr>
                <w:color w:val="000000"/>
                <w:lang w:val="en-HK"/>
              </w:rPr>
              <w:t>/</w:t>
            </w:r>
          </w:p>
          <w:p w14:paraId="27F6C993" w14:textId="77777777" w:rsidR="00425E57" w:rsidRPr="00B71D20" w:rsidRDefault="00425E57" w:rsidP="00E12B44">
            <w:pPr>
              <w:jc w:val="center"/>
              <w:rPr>
                <w:color w:val="000000"/>
              </w:rPr>
            </w:pPr>
            <w:r>
              <w:rPr>
                <w:color w:val="000000"/>
                <w:lang w:val="en-HK"/>
              </w:rPr>
              <w:t>50,000</w:t>
            </w:r>
          </w:p>
        </w:tc>
        <w:tc>
          <w:tcPr>
            <w:tcW w:w="419" w:type="pct"/>
            <w:shd w:val="clear" w:color="auto" w:fill="FFFFFF"/>
            <w:vAlign w:val="center"/>
          </w:tcPr>
          <w:p w14:paraId="419FCA38" w14:textId="77777777" w:rsidR="00425E57" w:rsidRDefault="00425E57" w:rsidP="00E12B44">
            <w:pPr>
              <w:jc w:val="center"/>
              <w:rPr>
                <w:color w:val="000000"/>
                <w:lang w:val="en-HK"/>
              </w:rPr>
            </w:pPr>
            <w:r>
              <w:rPr>
                <w:color w:val="000000"/>
                <w:lang w:val="en-HK"/>
              </w:rPr>
              <w:t>5/</w:t>
            </w:r>
          </w:p>
          <w:p w14:paraId="2A1D9A91" w14:textId="77777777" w:rsidR="00425E57" w:rsidRPr="00B71D20" w:rsidRDefault="00425E57" w:rsidP="00E12B44">
            <w:pPr>
              <w:jc w:val="center"/>
              <w:rPr>
                <w:color w:val="000000"/>
              </w:rPr>
            </w:pPr>
            <w:r>
              <w:rPr>
                <w:color w:val="000000"/>
                <w:lang w:val="en-HK"/>
              </w:rPr>
              <w:t>50</w:t>
            </w:r>
          </w:p>
        </w:tc>
        <w:tc>
          <w:tcPr>
            <w:tcW w:w="304" w:type="pct"/>
            <w:shd w:val="clear" w:color="auto" w:fill="FFFFFF"/>
          </w:tcPr>
          <w:p w14:paraId="4CBF6672" w14:textId="77777777" w:rsidR="00425E57" w:rsidRDefault="00425E57" w:rsidP="00E12B44">
            <w:pPr>
              <w:jc w:val="center"/>
              <w:rPr>
                <w:color w:val="000000"/>
                <w:lang w:val="en-HK"/>
              </w:rPr>
            </w:pPr>
            <w:r>
              <w:rPr>
                <w:color w:val="000000"/>
                <w:lang w:val="en-HK"/>
              </w:rPr>
              <w:t>2/</w:t>
            </w:r>
          </w:p>
          <w:p w14:paraId="65C9FEF9" w14:textId="77777777" w:rsidR="00425E57" w:rsidRPr="00B71D20" w:rsidRDefault="00425E57" w:rsidP="00E12B44">
            <w:pPr>
              <w:jc w:val="center"/>
              <w:rPr>
                <w:color w:val="000000"/>
                <w:lang w:val="en-HK"/>
              </w:rPr>
            </w:pPr>
            <w:r>
              <w:rPr>
                <w:color w:val="000000"/>
                <w:lang w:val="en-HK"/>
              </w:rPr>
              <w:t>1</w:t>
            </w:r>
          </w:p>
        </w:tc>
      </w:tr>
      <w:tr w:rsidR="00425E57" w:rsidRPr="00B71D20" w14:paraId="474A3AA1" w14:textId="77777777" w:rsidTr="0095215C">
        <w:trPr>
          <w:tblCellSpacing w:w="15" w:type="dxa"/>
        </w:trPr>
        <w:tc>
          <w:tcPr>
            <w:tcW w:w="232" w:type="pct"/>
            <w:shd w:val="clear" w:color="auto" w:fill="FFFFFF"/>
            <w:vAlign w:val="center"/>
          </w:tcPr>
          <w:p w14:paraId="0237E566" w14:textId="77777777" w:rsidR="00425E57" w:rsidRPr="00B71D20" w:rsidRDefault="00425E57" w:rsidP="00E12B44">
            <w:pPr>
              <w:jc w:val="center"/>
              <w:rPr>
                <w:color w:val="000000"/>
              </w:rPr>
            </w:pPr>
            <w:r>
              <w:rPr>
                <w:color w:val="000000"/>
              </w:rPr>
              <w:t>14</w:t>
            </w:r>
          </w:p>
        </w:tc>
        <w:tc>
          <w:tcPr>
            <w:tcW w:w="310" w:type="pct"/>
            <w:shd w:val="clear" w:color="auto" w:fill="FFFFFF"/>
            <w:vAlign w:val="center"/>
          </w:tcPr>
          <w:p w14:paraId="35682A89" w14:textId="77777777" w:rsidR="00425E57" w:rsidRPr="00B71D20" w:rsidRDefault="00425E57" w:rsidP="00E12B44">
            <w:pPr>
              <w:jc w:val="center"/>
              <w:rPr>
                <w:color w:val="000000"/>
              </w:rPr>
            </w:pPr>
            <w:r w:rsidRPr="00B71D20">
              <w:rPr>
                <w:color w:val="000000"/>
                <w:lang w:val="en-HK"/>
              </w:rPr>
              <w:t>1668</w:t>
            </w:r>
          </w:p>
        </w:tc>
        <w:tc>
          <w:tcPr>
            <w:tcW w:w="2631" w:type="pct"/>
            <w:shd w:val="clear" w:color="auto" w:fill="FFFFFF"/>
            <w:vAlign w:val="center"/>
          </w:tcPr>
          <w:p w14:paraId="78349140" w14:textId="77777777" w:rsidR="00425E57" w:rsidRPr="00B71D20" w:rsidRDefault="00425E57" w:rsidP="00E12B44">
            <w:pPr>
              <w:rPr>
                <w:color w:val="000000"/>
                <w:lang w:val="en-GB"/>
              </w:rPr>
            </w:pPr>
            <w:r>
              <w:rPr>
                <w:color w:val="000000"/>
                <w:lang w:val="en-GB"/>
              </w:rPr>
              <w:t>China South City Holdings Ltd.</w:t>
            </w:r>
          </w:p>
        </w:tc>
        <w:tc>
          <w:tcPr>
            <w:tcW w:w="419" w:type="pct"/>
            <w:shd w:val="clear" w:color="auto" w:fill="FFFFFF"/>
            <w:vAlign w:val="center"/>
          </w:tcPr>
          <w:p w14:paraId="13B54009" w14:textId="77777777" w:rsidR="00425E57" w:rsidRPr="00B71D20" w:rsidRDefault="00425E57" w:rsidP="00E12B44">
            <w:pPr>
              <w:jc w:val="center"/>
              <w:rPr>
                <w:color w:val="000000"/>
              </w:rPr>
            </w:pPr>
            <w:r w:rsidRPr="00B71D20">
              <w:rPr>
                <w:color w:val="000000"/>
                <w:lang w:val="en-HK"/>
              </w:rPr>
              <w:t>CTY</w:t>
            </w:r>
          </w:p>
        </w:tc>
        <w:tc>
          <w:tcPr>
            <w:tcW w:w="564" w:type="pct"/>
            <w:shd w:val="clear" w:color="auto" w:fill="FFFFFF"/>
            <w:vAlign w:val="center"/>
          </w:tcPr>
          <w:p w14:paraId="2B664F72"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0F028868" w14:textId="77777777" w:rsidR="00425E57" w:rsidRPr="00B71D20" w:rsidRDefault="00425E57" w:rsidP="00E12B44">
            <w:pPr>
              <w:jc w:val="center"/>
              <w:rPr>
                <w:color w:val="000000"/>
              </w:rPr>
            </w:pPr>
            <w:r w:rsidRPr="00B71D20">
              <w:rPr>
                <w:color w:val="000000"/>
                <w:lang w:val="en-HK"/>
              </w:rPr>
              <w:t>5</w:t>
            </w:r>
          </w:p>
        </w:tc>
        <w:tc>
          <w:tcPr>
            <w:tcW w:w="304" w:type="pct"/>
            <w:shd w:val="clear" w:color="auto" w:fill="FFFFFF"/>
          </w:tcPr>
          <w:p w14:paraId="6F37B5E6" w14:textId="77777777" w:rsidR="00425E57" w:rsidRPr="00B71D20" w:rsidRDefault="00425E57" w:rsidP="00E12B44">
            <w:pPr>
              <w:jc w:val="center"/>
              <w:rPr>
                <w:color w:val="000000"/>
                <w:lang w:val="en-HK"/>
              </w:rPr>
            </w:pPr>
            <w:r>
              <w:rPr>
                <w:color w:val="000000"/>
                <w:lang w:val="en-HK"/>
              </w:rPr>
              <w:t>2</w:t>
            </w:r>
          </w:p>
        </w:tc>
      </w:tr>
      <w:tr w:rsidR="00425E57" w:rsidRPr="00B71D20" w14:paraId="72A4C5A0" w14:textId="77777777" w:rsidTr="0095215C">
        <w:trPr>
          <w:tblCellSpacing w:w="15" w:type="dxa"/>
        </w:trPr>
        <w:tc>
          <w:tcPr>
            <w:tcW w:w="232" w:type="pct"/>
            <w:shd w:val="clear" w:color="auto" w:fill="FFFFFF"/>
            <w:vAlign w:val="center"/>
          </w:tcPr>
          <w:p w14:paraId="05B818EB" w14:textId="77777777" w:rsidR="00425E57" w:rsidRPr="00B71D20" w:rsidRDefault="00425E57" w:rsidP="00E12B44">
            <w:pPr>
              <w:jc w:val="center"/>
              <w:rPr>
                <w:color w:val="000000"/>
              </w:rPr>
            </w:pPr>
            <w:r>
              <w:rPr>
                <w:color w:val="000000"/>
              </w:rPr>
              <w:t>15</w:t>
            </w:r>
          </w:p>
        </w:tc>
        <w:tc>
          <w:tcPr>
            <w:tcW w:w="310" w:type="pct"/>
            <w:shd w:val="clear" w:color="auto" w:fill="FFFFFF"/>
            <w:vAlign w:val="center"/>
          </w:tcPr>
          <w:p w14:paraId="02A0AE77" w14:textId="77777777" w:rsidR="00425E57" w:rsidRPr="00B71D20" w:rsidRDefault="00425E57" w:rsidP="00E12B44">
            <w:pPr>
              <w:jc w:val="center"/>
              <w:rPr>
                <w:color w:val="000000"/>
              </w:rPr>
            </w:pPr>
            <w:r w:rsidRPr="00B71D20">
              <w:rPr>
                <w:color w:val="000000"/>
              </w:rPr>
              <w:t>1766</w:t>
            </w:r>
          </w:p>
        </w:tc>
        <w:tc>
          <w:tcPr>
            <w:tcW w:w="2631" w:type="pct"/>
            <w:shd w:val="clear" w:color="auto" w:fill="FFFFFF"/>
            <w:vAlign w:val="center"/>
          </w:tcPr>
          <w:p w14:paraId="6951BC75" w14:textId="77777777" w:rsidR="00425E57" w:rsidRPr="00B71D20" w:rsidRDefault="00425E57" w:rsidP="00E12B44">
            <w:pPr>
              <w:rPr>
                <w:color w:val="000000"/>
                <w:lang w:val="en-GB"/>
              </w:rPr>
            </w:pPr>
            <w:r>
              <w:rPr>
                <w:color w:val="000000"/>
                <w:lang w:val="en-GB"/>
              </w:rPr>
              <w:t>CRRC Corporation Ltd.</w:t>
            </w:r>
          </w:p>
        </w:tc>
        <w:tc>
          <w:tcPr>
            <w:tcW w:w="419" w:type="pct"/>
            <w:shd w:val="clear" w:color="auto" w:fill="FFFFFF"/>
            <w:vAlign w:val="center"/>
          </w:tcPr>
          <w:p w14:paraId="7FB7BB4E" w14:textId="77777777" w:rsidR="00425E57" w:rsidRPr="00B71D20" w:rsidRDefault="00425E57" w:rsidP="00E12B44">
            <w:pPr>
              <w:jc w:val="center"/>
              <w:rPr>
                <w:color w:val="000000"/>
              </w:rPr>
            </w:pPr>
            <w:r w:rsidRPr="00B71D20">
              <w:rPr>
                <w:color w:val="000000"/>
              </w:rPr>
              <w:t>CRR</w:t>
            </w:r>
          </w:p>
        </w:tc>
        <w:tc>
          <w:tcPr>
            <w:tcW w:w="564" w:type="pct"/>
            <w:shd w:val="clear" w:color="auto" w:fill="FFFFFF"/>
            <w:vAlign w:val="center"/>
          </w:tcPr>
          <w:p w14:paraId="46999845"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0D736F5A" w14:textId="77777777" w:rsidR="00425E57" w:rsidRPr="00B71D20" w:rsidRDefault="00425E57" w:rsidP="00E12B44">
            <w:pPr>
              <w:jc w:val="center"/>
              <w:rPr>
                <w:color w:val="000000"/>
              </w:rPr>
            </w:pPr>
            <w:r w:rsidRPr="00B71D20">
              <w:rPr>
                <w:color w:val="000000"/>
                <w:lang w:val="en-HK"/>
              </w:rPr>
              <w:t>10</w:t>
            </w:r>
          </w:p>
        </w:tc>
        <w:tc>
          <w:tcPr>
            <w:tcW w:w="304" w:type="pct"/>
            <w:shd w:val="clear" w:color="auto" w:fill="FFFFFF"/>
          </w:tcPr>
          <w:p w14:paraId="208392D5" w14:textId="77777777" w:rsidR="00425E57" w:rsidRPr="00B71D20" w:rsidRDefault="00425E57" w:rsidP="00E12B44">
            <w:pPr>
              <w:jc w:val="center"/>
              <w:rPr>
                <w:color w:val="000000"/>
                <w:lang w:val="en-HK"/>
              </w:rPr>
            </w:pPr>
            <w:r>
              <w:rPr>
                <w:color w:val="000000"/>
                <w:lang w:val="en-HK"/>
              </w:rPr>
              <w:t>1</w:t>
            </w:r>
          </w:p>
        </w:tc>
      </w:tr>
      <w:tr w:rsidR="00425E57" w:rsidRPr="00B71D20" w14:paraId="716F6A4C" w14:textId="77777777" w:rsidTr="0095215C">
        <w:trPr>
          <w:tblCellSpacing w:w="15" w:type="dxa"/>
        </w:trPr>
        <w:tc>
          <w:tcPr>
            <w:tcW w:w="232" w:type="pct"/>
            <w:shd w:val="clear" w:color="auto" w:fill="FFFFFF"/>
            <w:vAlign w:val="center"/>
          </w:tcPr>
          <w:p w14:paraId="363E7992" w14:textId="77777777" w:rsidR="00425E57" w:rsidRPr="00B71D20" w:rsidRDefault="00425E57" w:rsidP="00E12B44">
            <w:pPr>
              <w:jc w:val="center"/>
              <w:rPr>
                <w:color w:val="000000"/>
              </w:rPr>
            </w:pPr>
            <w:r>
              <w:rPr>
                <w:color w:val="000000"/>
              </w:rPr>
              <w:t>16</w:t>
            </w:r>
          </w:p>
        </w:tc>
        <w:tc>
          <w:tcPr>
            <w:tcW w:w="310" w:type="pct"/>
            <w:shd w:val="clear" w:color="auto" w:fill="FFFFFF"/>
            <w:vAlign w:val="center"/>
          </w:tcPr>
          <w:p w14:paraId="15CAA5D7" w14:textId="77777777" w:rsidR="00425E57" w:rsidRPr="00B71D20" w:rsidRDefault="00425E57" w:rsidP="00E12B44">
            <w:pPr>
              <w:jc w:val="center"/>
              <w:rPr>
                <w:color w:val="000000"/>
              </w:rPr>
            </w:pPr>
            <w:r w:rsidRPr="00B71D20">
              <w:rPr>
                <w:color w:val="000000"/>
              </w:rPr>
              <w:t>1816</w:t>
            </w:r>
          </w:p>
        </w:tc>
        <w:tc>
          <w:tcPr>
            <w:tcW w:w="2631" w:type="pct"/>
            <w:shd w:val="clear" w:color="auto" w:fill="FFFFFF"/>
            <w:vAlign w:val="center"/>
          </w:tcPr>
          <w:p w14:paraId="1A48EDBE" w14:textId="77777777" w:rsidR="00425E57" w:rsidRPr="00B71D20" w:rsidRDefault="00425E57" w:rsidP="00E12B44">
            <w:pPr>
              <w:rPr>
                <w:color w:val="000000"/>
                <w:lang w:val="en-GB"/>
              </w:rPr>
            </w:pPr>
            <w:r>
              <w:rPr>
                <w:color w:val="000000"/>
                <w:lang w:val="en-GB"/>
              </w:rPr>
              <w:t>CGN Power Co., Ltd.</w:t>
            </w:r>
          </w:p>
        </w:tc>
        <w:tc>
          <w:tcPr>
            <w:tcW w:w="419" w:type="pct"/>
            <w:shd w:val="clear" w:color="auto" w:fill="FFFFFF"/>
            <w:vAlign w:val="center"/>
          </w:tcPr>
          <w:p w14:paraId="7AD5542F" w14:textId="77777777" w:rsidR="00425E57" w:rsidRDefault="00425E57" w:rsidP="00E12B44">
            <w:pPr>
              <w:jc w:val="center"/>
              <w:rPr>
                <w:color w:val="000000"/>
              </w:rPr>
            </w:pPr>
            <w:r w:rsidRPr="00B71D20">
              <w:rPr>
                <w:color w:val="000000"/>
              </w:rPr>
              <w:t>CGN</w:t>
            </w:r>
            <w:r>
              <w:rPr>
                <w:color w:val="000000"/>
              </w:rPr>
              <w:t>/</w:t>
            </w:r>
          </w:p>
          <w:p w14:paraId="650B77D2" w14:textId="673851E6" w:rsidR="00425E57" w:rsidRPr="00B71D20" w:rsidRDefault="00F42AE4">
            <w:pPr>
              <w:jc w:val="center"/>
              <w:rPr>
                <w:color w:val="000000"/>
              </w:rPr>
            </w:pPr>
            <w:r>
              <w:rPr>
                <w:color w:val="000000"/>
              </w:rPr>
              <w:t>CGA</w:t>
            </w:r>
            <w:r w:rsidR="00A9377F">
              <w:rPr>
                <w:color w:val="000000"/>
              </w:rPr>
              <w:t>*</w:t>
            </w:r>
          </w:p>
        </w:tc>
        <w:tc>
          <w:tcPr>
            <w:tcW w:w="564" w:type="pct"/>
            <w:shd w:val="clear" w:color="auto" w:fill="FFFFFF"/>
            <w:vAlign w:val="center"/>
          </w:tcPr>
          <w:p w14:paraId="0400B0F3" w14:textId="77777777" w:rsidR="00425E57" w:rsidRDefault="00425E57" w:rsidP="00E12B44">
            <w:pPr>
              <w:jc w:val="center"/>
              <w:rPr>
                <w:color w:val="000000"/>
                <w:lang w:val="en-HK"/>
              </w:rPr>
            </w:pPr>
            <w:r>
              <w:rPr>
                <w:color w:val="000000"/>
                <w:lang w:val="en-HK"/>
              </w:rPr>
              <w:t>1</w:t>
            </w:r>
            <w:r w:rsidRPr="00B71D20">
              <w:rPr>
                <w:color w:val="000000"/>
                <w:lang w:val="en-HK"/>
              </w:rPr>
              <w:t>0,000</w:t>
            </w:r>
            <w:r>
              <w:rPr>
                <w:color w:val="000000"/>
                <w:lang w:val="en-HK"/>
              </w:rPr>
              <w:t>/</w:t>
            </w:r>
          </w:p>
          <w:p w14:paraId="2990FED8" w14:textId="77777777" w:rsidR="00425E57" w:rsidRPr="00B71D20" w:rsidRDefault="00425E57" w:rsidP="00E12B44">
            <w:pPr>
              <w:jc w:val="center"/>
              <w:rPr>
                <w:color w:val="000000"/>
              </w:rPr>
            </w:pPr>
            <w:r>
              <w:rPr>
                <w:color w:val="000000"/>
                <w:lang w:val="en-HK"/>
              </w:rPr>
              <w:t>50,000</w:t>
            </w:r>
          </w:p>
        </w:tc>
        <w:tc>
          <w:tcPr>
            <w:tcW w:w="419" w:type="pct"/>
            <w:shd w:val="clear" w:color="auto" w:fill="FFFFFF"/>
            <w:vAlign w:val="center"/>
          </w:tcPr>
          <w:p w14:paraId="3A8D7086" w14:textId="77777777" w:rsidR="00425E57" w:rsidRDefault="00425E57" w:rsidP="00E12B44">
            <w:pPr>
              <w:jc w:val="center"/>
              <w:rPr>
                <w:color w:val="000000"/>
                <w:lang w:val="en-HK"/>
              </w:rPr>
            </w:pPr>
            <w:r>
              <w:rPr>
                <w:color w:val="000000"/>
                <w:lang w:val="en-HK"/>
              </w:rPr>
              <w:t>1</w:t>
            </w:r>
            <w:r w:rsidRPr="00B71D20">
              <w:rPr>
                <w:color w:val="000000"/>
                <w:lang w:val="en-HK"/>
              </w:rPr>
              <w:t>0</w:t>
            </w:r>
            <w:r>
              <w:rPr>
                <w:color w:val="000000"/>
                <w:lang w:val="en-HK"/>
              </w:rPr>
              <w:t>/</w:t>
            </w:r>
          </w:p>
          <w:p w14:paraId="5F22862A" w14:textId="77777777" w:rsidR="00425E57" w:rsidRPr="00B71D20" w:rsidRDefault="00425E57" w:rsidP="00E12B44">
            <w:pPr>
              <w:jc w:val="center"/>
              <w:rPr>
                <w:color w:val="000000"/>
              </w:rPr>
            </w:pPr>
            <w:r>
              <w:rPr>
                <w:color w:val="000000"/>
                <w:lang w:val="en-HK"/>
              </w:rPr>
              <w:t>50</w:t>
            </w:r>
          </w:p>
        </w:tc>
        <w:tc>
          <w:tcPr>
            <w:tcW w:w="304" w:type="pct"/>
            <w:shd w:val="clear" w:color="auto" w:fill="FFFFFF"/>
          </w:tcPr>
          <w:p w14:paraId="4A81F005" w14:textId="77777777" w:rsidR="00425E57" w:rsidRDefault="00425E57" w:rsidP="00E12B44">
            <w:pPr>
              <w:jc w:val="center"/>
              <w:rPr>
                <w:color w:val="000000"/>
                <w:lang w:val="en-HK"/>
              </w:rPr>
            </w:pPr>
            <w:r>
              <w:rPr>
                <w:color w:val="000000"/>
                <w:lang w:val="en-HK"/>
              </w:rPr>
              <w:t>2/</w:t>
            </w:r>
          </w:p>
          <w:p w14:paraId="75E1C5D5" w14:textId="77777777" w:rsidR="00425E57" w:rsidRPr="00B71D20" w:rsidRDefault="00425E57" w:rsidP="00E12B44">
            <w:pPr>
              <w:jc w:val="center"/>
              <w:rPr>
                <w:color w:val="000000"/>
                <w:lang w:val="en-HK"/>
              </w:rPr>
            </w:pPr>
            <w:r>
              <w:rPr>
                <w:color w:val="000000"/>
                <w:lang w:val="en-HK"/>
              </w:rPr>
              <w:t>1</w:t>
            </w:r>
          </w:p>
        </w:tc>
      </w:tr>
      <w:tr w:rsidR="00425E57" w:rsidRPr="00B71D20" w14:paraId="66CEA1D8" w14:textId="77777777" w:rsidTr="0095215C">
        <w:trPr>
          <w:tblCellSpacing w:w="15" w:type="dxa"/>
        </w:trPr>
        <w:tc>
          <w:tcPr>
            <w:tcW w:w="232" w:type="pct"/>
            <w:shd w:val="clear" w:color="auto" w:fill="FFFFFF"/>
            <w:vAlign w:val="center"/>
          </w:tcPr>
          <w:p w14:paraId="5A4DD16E" w14:textId="77777777" w:rsidR="00425E57" w:rsidRPr="00B71D20" w:rsidRDefault="00425E57" w:rsidP="00E12B44">
            <w:pPr>
              <w:jc w:val="center"/>
              <w:rPr>
                <w:color w:val="000000"/>
              </w:rPr>
            </w:pPr>
            <w:r>
              <w:rPr>
                <w:color w:val="000000"/>
              </w:rPr>
              <w:t>17</w:t>
            </w:r>
          </w:p>
        </w:tc>
        <w:tc>
          <w:tcPr>
            <w:tcW w:w="310" w:type="pct"/>
            <w:shd w:val="clear" w:color="auto" w:fill="FFFFFF"/>
            <w:vAlign w:val="center"/>
          </w:tcPr>
          <w:p w14:paraId="7668517C" w14:textId="77777777" w:rsidR="00425E57" w:rsidRPr="00B71D20" w:rsidRDefault="00425E57" w:rsidP="00E12B44">
            <w:pPr>
              <w:jc w:val="center"/>
              <w:rPr>
                <w:color w:val="000000"/>
              </w:rPr>
            </w:pPr>
            <w:r w:rsidRPr="00B71D20">
              <w:rPr>
                <w:color w:val="000000"/>
              </w:rPr>
              <w:t>1918</w:t>
            </w:r>
          </w:p>
        </w:tc>
        <w:tc>
          <w:tcPr>
            <w:tcW w:w="2631" w:type="pct"/>
            <w:shd w:val="clear" w:color="auto" w:fill="FFFFFF"/>
            <w:vAlign w:val="center"/>
          </w:tcPr>
          <w:p w14:paraId="1B0AEACD" w14:textId="77777777" w:rsidR="00425E57" w:rsidRPr="00B71D20" w:rsidRDefault="00425E57" w:rsidP="00E12B44">
            <w:pPr>
              <w:rPr>
                <w:color w:val="000000"/>
                <w:lang w:val="en-GB"/>
              </w:rPr>
            </w:pPr>
            <w:proofErr w:type="spellStart"/>
            <w:r>
              <w:rPr>
                <w:color w:val="000000"/>
                <w:lang w:val="en-GB"/>
              </w:rPr>
              <w:t>Sunac</w:t>
            </w:r>
            <w:proofErr w:type="spellEnd"/>
            <w:r>
              <w:rPr>
                <w:color w:val="000000"/>
                <w:lang w:val="en-GB"/>
              </w:rPr>
              <w:t xml:space="preserve"> China Holdings Ltd.</w:t>
            </w:r>
          </w:p>
        </w:tc>
        <w:tc>
          <w:tcPr>
            <w:tcW w:w="419" w:type="pct"/>
            <w:shd w:val="clear" w:color="auto" w:fill="FFFFFF"/>
            <w:vAlign w:val="center"/>
          </w:tcPr>
          <w:p w14:paraId="0CDE6B67" w14:textId="77777777" w:rsidR="00425E57" w:rsidRDefault="00425E57" w:rsidP="00E12B44">
            <w:pPr>
              <w:jc w:val="center"/>
              <w:rPr>
                <w:color w:val="000000"/>
              </w:rPr>
            </w:pPr>
            <w:r w:rsidRPr="00B71D20">
              <w:rPr>
                <w:color w:val="000000"/>
              </w:rPr>
              <w:t>SUN</w:t>
            </w:r>
            <w:r>
              <w:rPr>
                <w:color w:val="000000"/>
              </w:rPr>
              <w:t>/</w:t>
            </w:r>
          </w:p>
          <w:p w14:paraId="4BCB1959" w14:textId="76AADD1C" w:rsidR="00425E57" w:rsidRPr="00B71D20" w:rsidRDefault="00425E57" w:rsidP="00E12B44">
            <w:pPr>
              <w:jc w:val="center"/>
              <w:rPr>
                <w:color w:val="000000"/>
              </w:rPr>
            </w:pPr>
            <w:r>
              <w:rPr>
                <w:color w:val="000000"/>
              </w:rPr>
              <w:t>SUA</w:t>
            </w:r>
            <w:r w:rsidR="00A9377F">
              <w:rPr>
                <w:color w:val="000000"/>
              </w:rPr>
              <w:t>*</w:t>
            </w:r>
          </w:p>
        </w:tc>
        <w:tc>
          <w:tcPr>
            <w:tcW w:w="564" w:type="pct"/>
            <w:shd w:val="clear" w:color="auto" w:fill="FFFFFF"/>
            <w:vAlign w:val="center"/>
          </w:tcPr>
          <w:p w14:paraId="49983762" w14:textId="77777777" w:rsidR="00425E57" w:rsidRDefault="00425E57" w:rsidP="00E12B44">
            <w:pPr>
              <w:jc w:val="center"/>
              <w:rPr>
                <w:color w:val="000000"/>
                <w:lang w:val="en-HK"/>
              </w:rPr>
            </w:pPr>
            <w:r>
              <w:rPr>
                <w:color w:val="000000"/>
                <w:lang w:val="en-HK"/>
              </w:rPr>
              <w:t>2</w:t>
            </w:r>
            <w:r w:rsidRPr="00B71D20">
              <w:rPr>
                <w:color w:val="000000"/>
                <w:lang w:val="en-HK"/>
              </w:rPr>
              <w:t>,000</w:t>
            </w:r>
            <w:r>
              <w:rPr>
                <w:color w:val="000000"/>
                <w:lang w:val="en-HK"/>
              </w:rPr>
              <w:t>/</w:t>
            </w:r>
          </w:p>
          <w:p w14:paraId="6F919273" w14:textId="77777777" w:rsidR="00425E57" w:rsidRPr="00B71D20" w:rsidRDefault="00425E57" w:rsidP="00E12B44">
            <w:pPr>
              <w:jc w:val="center"/>
              <w:rPr>
                <w:color w:val="000000"/>
              </w:rPr>
            </w:pPr>
            <w:r>
              <w:rPr>
                <w:color w:val="000000"/>
                <w:lang w:val="en-HK"/>
              </w:rPr>
              <w:t>10,000</w:t>
            </w:r>
          </w:p>
        </w:tc>
        <w:tc>
          <w:tcPr>
            <w:tcW w:w="419" w:type="pct"/>
            <w:shd w:val="clear" w:color="auto" w:fill="FFFFFF"/>
            <w:vAlign w:val="center"/>
          </w:tcPr>
          <w:p w14:paraId="3EAC3C8A" w14:textId="77777777" w:rsidR="00425E57" w:rsidRDefault="00425E57" w:rsidP="00E12B44">
            <w:pPr>
              <w:jc w:val="center"/>
              <w:rPr>
                <w:color w:val="000000"/>
                <w:lang w:val="en-HK"/>
              </w:rPr>
            </w:pPr>
            <w:r>
              <w:rPr>
                <w:color w:val="000000"/>
                <w:lang w:val="en-HK"/>
              </w:rPr>
              <w:t>2/</w:t>
            </w:r>
          </w:p>
          <w:p w14:paraId="709B5039" w14:textId="6A6CC018" w:rsidR="00425E57" w:rsidRPr="00B71D20" w:rsidRDefault="009D2716" w:rsidP="00E12B44">
            <w:pPr>
              <w:jc w:val="center"/>
              <w:rPr>
                <w:color w:val="000000"/>
              </w:rPr>
            </w:pPr>
            <w:r>
              <w:rPr>
                <w:color w:val="000000"/>
                <w:lang w:val="en-HK"/>
              </w:rPr>
              <w:t>10</w:t>
            </w:r>
          </w:p>
        </w:tc>
        <w:tc>
          <w:tcPr>
            <w:tcW w:w="304" w:type="pct"/>
            <w:shd w:val="clear" w:color="auto" w:fill="FFFFFF"/>
            <w:vAlign w:val="center"/>
          </w:tcPr>
          <w:p w14:paraId="11618F99" w14:textId="77777777" w:rsidR="00425E57" w:rsidRPr="00B71D20" w:rsidRDefault="00425E57" w:rsidP="00E12B44">
            <w:pPr>
              <w:jc w:val="center"/>
              <w:rPr>
                <w:color w:val="000000"/>
                <w:lang w:val="en-HK"/>
              </w:rPr>
            </w:pPr>
            <w:r>
              <w:rPr>
                <w:color w:val="000000"/>
                <w:lang w:val="en-HK"/>
              </w:rPr>
              <w:t>1</w:t>
            </w:r>
          </w:p>
        </w:tc>
      </w:tr>
      <w:tr w:rsidR="00425E57" w:rsidRPr="00B71D20" w14:paraId="2FDEB4A9" w14:textId="77777777" w:rsidTr="003B16DB">
        <w:trPr>
          <w:tblCellSpacing w:w="15" w:type="dxa"/>
        </w:trPr>
        <w:tc>
          <w:tcPr>
            <w:tcW w:w="232" w:type="pct"/>
            <w:shd w:val="clear" w:color="auto" w:fill="FFFFFF"/>
            <w:vAlign w:val="center"/>
          </w:tcPr>
          <w:p w14:paraId="2023BD54" w14:textId="77777777" w:rsidR="00425E57" w:rsidRPr="00B71D20" w:rsidRDefault="00425E57" w:rsidP="00E12B44">
            <w:pPr>
              <w:jc w:val="center"/>
              <w:rPr>
                <w:color w:val="000000"/>
              </w:rPr>
            </w:pPr>
            <w:r>
              <w:rPr>
                <w:color w:val="000000"/>
              </w:rPr>
              <w:t>18</w:t>
            </w:r>
          </w:p>
        </w:tc>
        <w:tc>
          <w:tcPr>
            <w:tcW w:w="310" w:type="pct"/>
            <w:shd w:val="clear" w:color="auto" w:fill="FFFFFF"/>
            <w:vAlign w:val="center"/>
          </w:tcPr>
          <w:p w14:paraId="1622FB89" w14:textId="77777777" w:rsidR="00425E57" w:rsidRPr="00B71D20" w:rsidRDefault="00425E57" w:rsidP="00E12B44">
            <w:pPr>
              <w:jc w:val="center"/>
              <w:rPr>
                <w:color w:val="000000"/>
              </w:rPr>
            </w:pPr>
            <w:r w:rsidRPr="00B71D20">
              <w:rPr>
                <w:color w:val="000000"/>
                <w:lang w:val="en-HK"/>
              </w:rPr>
              <w:t>1988</w:t>
            </w:r>
          </w:p>
        </w:tc>
        <w:tc>
          <w:tcPr>
            <w:tcW w:w="2631" w:type="pct"/>
            <w:shd w:val="clear" w:color="auto" w:fill="FFFFFF"/>
            <w:vAlign w:val="center"/>
          </w:tcPr>
          <w:p w14:paraId="57187D33" w14:textId="77777777" w:rsidR="00425E57" w:rsidRPr="00B71D20" w:rsidRDefault="00425E57" w:rsidP="00E12B44">
            <w:pPr>
              <w:rPr>
                <w:color w:val="000000"/>
                <w:lang w:val="en-GB"/>
              </w:rPr>
            </w:pPr>
            <w:r w:rsidRPr="00B71D20">
              <w:rPr>
                <w:color w:val="000000"/>
                <w:lang w:val="en-GB"/>
              </w:rPr>
              <w:t>Chin</w:t>
            </w:r>
            <w:r>
              <w:rPr>
                <w:color w:val="000000"/>
                <w:lang w:val="en-GB"/>
              </w:rPr>
              <w:t xml:space="preserve">a </w:t>
            </w:r>
            <w:proofErr w:type="spellStart"/>
            <w:r>
              <w:rPr>
                <w:color w:val="000000"/>
                <w:lang w:val="en-GB"/>
              </w:rPr>
              <w:t>Minsheng</w:t>
            </w:r>
            <w:proofErr w:type="spellEnd"/>
            <w:r>
              <w:rPr>
                <w:color w:val="000000"/>
                <w:lang w:val="en-GB"/>
              </w:rPr>
              <w:t xml:space="preserve"> Banking Corp., Ltd.</w:t>
            </w:r>
          </w:p>
        </w:tc>
        <w:tc>
          <w:tcPr>
            <w:tcW w:w="419" w:type="pct"/>
            <w:shd w:val="clear" w:color="auto" w:fill="FFFFFF"/>
            <w:vAlign w:val="center"/>
          </w:tcPr>
          <w:p w14:paraId="0FF63EF5" w14:textId="77777777" w:rsidR="00425E57" w:rsidRDefault="00425E57" w:rsidP="00E12B44">
            <w:pPr>
              <w:jc w:val="center"/>
              <w:rPr>
                <w:color w:val="000000"/>
                <w:lang w:val="en-HK"/>
              </w:rPr>
            </w:pPr>
            <w:r w:rsidRPr="00B71D20">
              <w:rPr>
                <w:color w:val="000000"/>
                <w:lang w:val="en-HK"/>
              </w:rPr>
              <w:t>MSB</w:t>
            </w:r>
            <w:r w:rsidR="003B16DB">
              <w:rPr>
                <w:color w:val="000000"/>
                <w:lang w:val="en-HK"/>
              </w:rPr>
              <w:t>/</w:t>
            </w:r>
          </w:p>
          <w:p w14:paraId="618803D6" w14:textId="2BBB9142" w:rsidR="003B16DB" w:rsidRPr="00B71D20" w:rsidRDefault="003A4339" w:rsidP="00E12B44">
            <w:pPr>
              <w:jc w:val="center"/>
              <w:rPr>
                <w:color w:val="000000"/>
              </w:rPr>
            </w:pPr>
            <w:r>
              <w:rPr>
                <w:color w:val="000000"/>
                <w:lang w:val="en-HK"/>
              </w:rPr>
              <w:t>MSA</w:t>
            </w:r>
            <w:r w:rsidR="000E35A4">
              <w:rPr>
                <w:color w:val="000000"/>
                <w:lang w:val="en-HK"/>
              </w:rPr>
              <w:t>*</w:t>
            </w:r>
          </w:p>
        </w:tc>
        <w:tc>
          <w:tcPr>
            <w:tcW w:w="564" w:type="pct"/>
            <w:shd w:val="clear" w:color="auto" w:fill="FFFFFF"/>
            <w:vAlign w:val="center"/>
          </w:tcPr>
          <w:p w14:paraId="6AFF0CEB" w14:textId="77777777" w:rsidR="00425E57" w:rsidRDefault="00425E57" w:rsidP="00E12B44">
            <w:pPr>
              <w:jc w:val="center"/>
              <w:rPr>
                <w:color w:val="000000"/>
                <w:lang w:val="en-HK"/>
              </w:rPr>
            </w:pPr>
            <w:r w:rsidRPr="00B71D20">
              <w:rPr>
                <w:color w:val="000000"/>
                <w:lang w:val="en-HK"/>
              </w:rPr>
              <w:t>10,000</w:t>
            </w:r>
            <w:r w:rsidR="003B16DB">
              <w:rPr>
                <w:color w:val="000000"/>
                <w:lang w:val="en-HK"/>
              </w:rPr>
              <w:t>/</w:t>
            </w:r>
          </w:p>
          <w:p w14:paraId="3A0821AD" w14:textId="5E0AF514" w:rsidR="003B16DB" w:rsidRPr="00B71D20" w:rsidRDefault="003B16DB" w:rsidP="00E12B44">
            <w:pPr>
              <w:jc w:val="center"/>
              <w:rPr>
                <w:color w:val="000000"/>
              </w:rPr>
            </w:pPr>
            <w:r>
              <w:rPr>
                <w:color w:val="000000"/>
                <w:lang w:val="en-HK"/>
              </w:rPr>
              <w:t>~12,000*</w:t>
            </w:r>
          </w:p>
        </w:tc>
        <w:tc>
          <w:tcPr>
            <w:tcW w:w="419" w:type="pct"/>
            <w:shd w:val="clear" w:color="auto" w:fill="FFFFFF"/>
            <w:vAlign w:val="center"/>
          </w:tcPr>
          <w:p w14:paraId="6500CA21" w14:textId="77777777" w:rsidR="00425E57" w:rsidRPr="00B71D20" w:rsidRDefault="00425E57" w:rsidP="00E12B44">
            <w:pPr>
              <w:jc w:val="center"/>
              <w:rPr>
                <w:color w:val="000000"/>
              </w:rPr>
            </w:pPr>
            <w:r w:rsidRPr="00B71D20">
              <w:rPr>
                <w:color w:val="000000"/>
                <w:lang w:val="en-HK"/>
              </w:rPr>
              <w:t>20</w:t>
            </w:r>
          </w:p>
        </w:tc>
        <w:tc>
          <w:tcPr>
            <w:tcW w:w="304" w:type="pct"/>
            <w:shd w:val="clear" w:color="auto" w:fill="FFFFFF"/>
            <w:vAlign w:val="center"/>
          </w:tcPr>
          <w:p w14:paraId="6A573D7C" w14:textId="77777777" w:rsidR="00425E57" w:rsidRPr="00B71D20" w:rsidRDefault="00425E57" w:rsidP="003B16DB">
            <w:pPr>
              <w:jc w:val="center"/>
              <w:rPr>
                <w:color w:val="000000"/>
                <w:lang w:val="en-HK"/>
              </w:rPr>
            </w:pPr>
            <w:r>
              <w:rPr>
                <w:color w:val="000000"/>
                <w:lang w:val="en-HK"/>
              </w:rPr>
              <w:t>1</w:t>
            </w:r>
          </w:p>
        </w:tc>
      </w:tr>
      <w:tr w:rsidR="00425E57" w:rsidRPr="00B71D20" w14:paraId="21063EA6" w14:textId="77777777" w:rsidTr="0095215C">
        <w:trPr>
          <w:tblCellSpacing w:w="15" w:type="dxa"/>
        </w:trPr>
        <w:tc>
          <w:tcPr>
            <w:tcW w:w="232" w:type="pct"/>
            <w:shd w:val="clear" w:color="auto" w:fill="auto"/>
            <w:vAlign w:val="center"/>
          </w:tcPr>
          <w:p w14:paraId="0DC57F7B" w14:textId="559F827D" w:rsidR="00425E57" w:rsidRPr="00EA0A50" w:rsidRDefault="00425E57" w:rsidP="00E12B44">
            <w:pPr>
              <w:jc w:val="center"/>
              <w:rPr>
                <w:color w:val="000000"/>
              </w:rPr>
            </w:pPr>
            <w:r>
              <w:rPr>
                <w:color w:val="000000"/>
              </w:rPr>
              <w:t>19</w:t>
            </w:r>
          </w:p>
        </w:tc>
        <w:tc>
          <w:tcPr>
            <w:tcW w:w="310" w:type="pct"/>
            <w:shd w:val="clear" w:color="auto" w:fill="auto"/>
            <w:vAlign w:val="center"/>
          </w:tcPr>
          <w:p w14:paraId="6CB83B1E" w14:textId="77777777" w:rsidR="00425E57" w:rsidRPr="00EA0A50" w:rsidRDefault="00425E57" w:rsidP="00E12B44">
            <w:pPr>
              <w:jc w:val="center"/>
              <w:rPr>
                <w:color w:val="000000"/>
              </w:rPr>
            </w:pPr>
            <w:r w:rsidRPr="00EA0A50">
              <w:rPr>
                <w:color w:val="000000"/>
              </w:rPr>
              <w:t>2007</w:t>
            </w:r>
          </w:p>
        </w:tc>
        <w:tc>
          <w:tcPr>
            <w:tcW w:w="2631" w:type="pct"/>
            <w:shd w:val="clear" w:color="auto" w:fill="auto"/>
            <w:vAlign w:val="center"/>
          </w:tcPr>
          <w:p w14:paraId="72C0D8E5" w14:textId="77777777" w:rsidR="00425E57" w:rsidRPr="00EA0A50" w:rsidRDefault="00425E57" w:rsidP="00E12B44">
            <w:pPr>
              <w:rPr>
                <w:color w:val="000000"/>
                <w:lang w:val="en-GB"/>
              </w:rPr>
            </w:pPr>
            <w:r w:rsidRPr="00EA0A50">
              <w:rPr>
                <w:color w:val="000000"/>
                <w:lang w:val="en-GB"/>
              </w:rPr>
              <w:t>Country Garden Holdings Co. Ltd</w:t>
            </w:r>
            <w:r>
              <w:rPr>
                <w:color w:val="000000"/>
                <w:lang w:val="en-GB"/>
              </w:rPr>
              <w:t>.</w:t>
            </w:r>
          </w:p>
        </w:tc>
        <w:tc>
          <w:tcPr>
            <w:tcW w:w="419" w:type="pct"/>
            <w:shd w:val="clear" w:color="auto" w:fill="auto"/>
            <w:vAlign w:val="center"/>
          </w:tcPr>
          <w:p w14:paraId="6B4DB1B7" w14:textId="77777777" w:rsidR="00425E57" w:rsidRPr="00EA0A50" w:rsidRDefault="00425E57" w:rsidP="00E12B44">
            <w:pPr>
              <w:jc w:val="center"/>
              <w:rPr>
                <w:color w:val="000000"/>
              </w:rPr>
            </w:pPr>
            <w:r w:rsidRPr="00EA0A50">
              <w:rPr>
                <w:color w:val="000000"/>
              </w:rPr>
              <w:t>COG</w:t>
            </w:r>
          </w:p>
        </w:tc>
        <w:tc>
          <w:tcPr>
            <w:tcW w:w="564" w:type="pct"/>
            <w:shd w:val="clear" w:color="auto" w:fill="auto"/>
            <w:vAlign w:val="center"/>
          </w:tcPr>
          <w:p w14:paraId="1EA7A24F" w14:textId="77777777" w:rsidR="00425E57" w:rsidRPr="00EA0A50" w:rsidRDefault="00425E57" w:rsidP="00E12B44">
            <w:pPr>
              <w:jc w:val="center"/>
              <w:rPr>
                <w:color w:val="000000"/>
                <w:lang w:val="en-HK"/>
              </w:rPr>
            </w:pPr>
            <w:r w:rsidRPr="00EA0A50">
              <w:rPr>
                <w:color w:val="000000"/>
                <w:lang w:val="en-HK"/>
              </w:rPr>
              <w:t>5,000</w:t>
            </w:r>
          </w:p>
        </w:tc>
        <w:tc>
          <w:tcPr>
            <w:tcW w:w="419" w:type="pct"/>
            <w:shd w:val="clear" w:color="auto" w:fill="auto"/>
            <w:vAlign w:val="center"/>
          </w:tcPr>
          <w:p w14:paraId="200A68AC" w14:textId="77777777" w:rsidR="00425E57" w:rsidRPr="00EA0A50" w:rsidRDefault="00425E57" w:rsidP="00E12B44">
            <w:pPr>
              <w:jc w:val="center"/>
              <w:rPr>
                <w:color w:val="000000"/>
                <w:lang w:val="en-HK"/>
              </w:rPr>
            </w:pPr>
            <w:r w:rsidRPr="00EA0A50">
              <w:rPr>
                <w:color w:val="000000"/>
                <w:lang w:val="en-HK"/>
              </w:rPr>
              <w:t>5</w:t>
            </w:r>
          </w:p>
        </w:tc>
        <w:tc>
          <w:tcPr>
            <w:tcW w:w="304" w:type="pct"/>
          </w:tcPr>
          <w:p w14:paraId="4A5E5C42" w14:textId="77777777" w:rsidR="00425E57" w:rsidRPr="00EA0A50" w:rsidRDefault="00425E57" w:rsidP="00E12B44">
            <w:pPr>
              <w:jc w:val="center"/>
              <w:rPr>
                <w:color w:val="000000"/>
                <w:lang w:val="en-HK"/>
              </w:rPr>
            </w:pPr>
            <w:r>
              <w:rPr>
                <w:color w:val="000000"/>
                <w:lang w:val="en-HK"/>
              </w:rPr>
              <w:t>1</w:t>
            </w:r>
          </w:p>
        </w:tc>
      </w:tr>
      <w:tr w:rsidR="00425E57" w:rsidRPr="00B71D20" w14:paraId="33BDF4AA" w14:textId="77777777" w:rsidTr="0095215C">
        <w:trPr>
          <w:tblCellSpacing w:w="15" w:type="dxa"/>
        </w:trPr>
        <w:tc>
          <w:tcPr>
            <w:tcW w:w="232" w:type="pct"/>
            <w:shd w:val="clear" w:color="auto" w:fill="auto"/>
            <w:vAlign w:val="center"/>
          </w:tcPr>
          <w:p w14:paraId="079E24A6" w14:textId="77777777" w:rsidR="00425E57" w:rsidRPr="00EA0A50" w:rsidRDefault="00425E57" w:rsidP="00E12B44">
            <w:pPr>
              <w:jc w:val="center"/>
              <w:rPr>
                <w:color w:val="000000"/>
              </w:rPr>
            </w:pPr>
            <w:r>
              <w:rPr>
                <w:color w:val="000000"/>
              </w:rPr>
              <w:t>20</w:t>
            </w:r>
          </w:p>
        </w:tc>
        <w:tc>
          <w:tcPr>
            <w:tcW w:w="310" w:type="pct"/>
            <w:shd w:val="clear" w:color="auto" w:fill="auto"/>
            <w:vAlign w:val="center"/>
          </w:tcPr>
          <w:p w14:paraId="58F0AC93" w14:textId="77777777" w:rsidR="00425E57" w:rsidRPr="00EA0A50" w:rsidRDefault="00425E57" w:rsidP="00E12B44">
            <w:pPr>
              <w:jc w:val="center"/>
              <w:rPr>
                <w:color w:val="000000"/>
              </w:rPr>
            </w:pPr>
            <w:r w:rsidRPr="00EA0A50">
              <w:rPr>
                <w:color w:val="000000"/>
              </w:rPr>
              <w:t>2018</w:t>
            </w:r>
          </w:p>
        </w:tc>
        <w:tc>
          <w:tcPr>
            <w:tcW w:w="2631" w:type="pct"/>
            <w:shd w:val="clear" w:color="auto" w:fill="auto"/>
            <w:vAlign w:val="center"/>
          </w:tcPr>
          <w:p w14:paraId="24196D0E" w14:textId="77777777" w:rsidR="00425E57" w:rsidRPr="00EA0A50" w:rsidRDefault="00425E57" w:rsidP="00E12B44">
            <w:pPr>
              <w:rPr>
                <w:color w:val="000000"/>
                <w:lang w:val="en-GB"/>
              </w:rPr>
            </w:pPr>
            <w:r w:rsidRPr="00EA0A50">
              <w:rPr>
                <w:color w:val="000000"/>
                <w:lang w:val="en-GB"/>
              </w:rPr>
              <w:t>AAC Technologies Holdings Inc.</w:t>
            </w:r>
          </w:p>
        </w:tc>
        <w:tc>
          <w:tcPr>
            <w:tcW w:w="419" w:type="pct"/>
            <w:shd w:val="clear" w:color="auto" w:fill="auto"/>
            <w:vAlign w:val="center"/>
          </w:tcPr>
          <w:p w14:paraId="7E7969E7" w14:textId="77777777" w:rsidR="00425E57" w:rsidRPr="00EA0A50" w:rsidRDefault="00425E57" w:rsidP="00E12B44">
            <w:pPr>
              <w:jc w:val="center"/>
              <w:rPr>
                <w:color w:val="000000"/>
              </w:rPr>
            </w:pPr>
            <w:r w:rsidRPr="00EA0A50">
              <w:rPr>
                <w:color w:val="000000"/>
              </w:rPr>
              <w:t>AAC</w:t>
            </w:r>
          </w:p>
        </w:tc>
        <w:tc>
          <w:tcPr>
            <w:tcW w:w="564" w:type="pct"/>
            <w:shd w:val="clear" w:color="auto" w:fill="auto"/>
            <w:vAlign w:val="center"/>
          </w:tcPr>
          <w:p w14:paraId="12E0CF7D" w14:textId="77777777" w:rsidR="00425E57" w:rsidRPr="00EA0A50" w:rsidRDefault="00425E57" w:rsidP="00E12B44">
            <w:pPr>
              <w:jc w:val="center"/>
              <w:rPr>
                <w:color w:val="000000"/>
                <w:lang w:val="en-HK"/>
              </w:rPr>
            </w:pPr>
            <w:r w:rsidRPr="00EA0A50">
              <w:rPr>
                <w:color w:val="000000"/>
                <w:lang w:val="en-HK"/>
              </w:rPr>
              <w:t>1,000</w:t>
            </w:r>
          </w:p>
        </w:tc>
        <w:tc>
          <w:tcPr>
            <w:tcW w:w="419" w:type="pct"/>
            <w:shd w:val="clear" w:color="auto" w:fill="auto"/>
            <w:vAlign w:val="center"/>
          </w:tcPr>
          <w:p w14:paraId="55849898" w14:textId="77777777" w:rsidR="00425E57" w:rsidRPr="00EA0A50" w:rsidRDefault="00425E57" w:rsidP="00E12B44">
            <w:pPr>
              <w:jc w:val="center"/>
              <w:rPr>
                <w:color w:val="000000"/>
                <w:lang w:val="en-HK"/>
              </w:rPr>
            </w:pPr>
            <w:r w:rsidRPr="00EA0A50">
              <w:rPr>
                <w:color w:val="000000"/>
                <w:lang w:val="en-HK"/>
              </w:rPr>
              <w:t>2</w:t>
            </w:r>
          </w:p>
        </w:tc>
        <w:tc>
          <w:tcPr>
            <w:tcW w:w="304" w:type="pct"/>
          </w:tcPr>
          <w:p w14:paraId="5ADEE32C" w14:textId="77777777" w:rsidR="00425E57" w:rsidRPr="00EA0A50" w:rsidRDefault="00425E57" w:rsidP="00E12B44">
            <w:pPr>
              <w:jc w:val="center"/>
              <w:rPr>
                <w:color w:val="000000"/>
                <w:lang w:val="en-HK"/>
              </w:rPr>
            </w:pPr>
            <w:r>
              <w:rPr>
                <w:color w:val="000000"/>
                <w:lang w:val="en-HK"/>
              </w:rPr>
              <w:t>1</w:t>
            </w:r>
          </w:p>
        </w:tc>
      </w:tr>
      <w:tr w:rsidR="00425E57" w:rsidRPr="00B71D20" w14:paraId="785AD8AA" w14:textId="77777777" w:rsidTr="0095215C">
        <w:trPr>
          <w:tblCellSpacing w:w="15" w:type="dxa"/>
        </w:trPr>
        <w:tc>
          <w:tcPr>
            <w:tcW w:w="232" w:type="pct"/>
            <w:shd w:val="clear" w:color="auto" w:fill="FFFFFF"/>
            <w:vAlign w:val="center"/>
          </w:tcPr>
          <w:p w14:paraId="195FE3E5" w14:textId="77777777" w:rsidR="00425E57" w:rsidRPr="00B71D20" w:rsidRDefault="00425E57" w:rsidP="00E12B44">
            <w:pPr>
              <w:jc w:val="center"/>
              <w:rPr>
                <w:color w:val="000000"/>
              </w:rPr>
            </w:pPr>
            <w:r>
              <w:rPr>
                <w:color w:val="000000"/>
              </w:rPr>
              <w:t>21</w:t>
            </w:r>
          </w:p>
        </w:tc>
        <w:tc>
          <w:tcPr>
            <w:tcW w:w="310" w:type="pct"/>
            <w:shd w:val="clear" w:color="auto" w:fill="FFFFFF"/>
            <w:vAlign w:val="center"/>
          </w:tcPr>
          <w:p w14:paraId="0EB67C45" w14:textId="77777777" w:rsidR="00425E57" w:rsidRPr="00B71D20" w:rsidRDefault="00425E57" w:rsidP="00E12B44">
            <w:pPr>
              <w:jc w:val="center"/>
              <w:rPr>
                <w:color w:val="000000"/>
              </w:rPr>
            </w:pPr>
            <w:r w:rsidRPr="00B71D20">
              <w:rPr>
                <w:color w:val="000000"/>
              </w:rPr>
              <w:t>2238</w:t>
            </w:r>
          </w:p>
        </w:tc>
        <w:tc>
          <w:tcPr>
            <w:tcW w:w="2631" w:type="pct"/>
            <w:shd w:val="clear" w:color="auto" w:fill="FFFFFF"/>
            <w:vAlign w:val="center"/>
          </w:tcPr>
          <w:p w14:paraId="09CA1FC3" w14:textId="77777777" w:rsidR="00425E57" w:rsidRPr="00B71D20" w:rsidRDefault="00425E57" w:rsidP="00E12B44">
            <w:pPr>
              <w:rPr>
                <w:color w:val="000000"/>
                <w:lang w:val="en-GB"/>
              </w:rPr>
            </w:pPr>
            <w:r w:rsidRPr="00B71D20">
              <w:rPr>
                <w:color w:val="000000"/>
                <w:lang w:val="en-GB"/>
              </w:rPr>
              <w:t>Guang</w:t>
            </w:r>
            <w:r>
              <w:rPr>
                <w:color w:val="000000"/>
                <w:lang w:val="en-GB"/>
              </w:rPr>
              <w:t>zhou Automobile Group Co., Ltd.</w:t>
            </w:r>
          </w:p>
        </w:tc>
        <w:tc>
          <w:tcPr>
            <w:tcW w:w="419" w:type="pct"/>
            <w:shd w:val="clear" w:color="auto" w:fill="FFFFFF"/>
            <w:vAlign w:val="center"/>
          </w:tcPr>
          <w:p w14:paraId="2A313443" w14:textId="77777777" w:rsidR="00425E57" w:rsidRDefault="00425E57" w:rsidP="00E12B44">
            <w:pPr>
              <w:jc w:val="center"/>
              <w:rPr>
                <w:color w:val="000000"/>
              </w:rPr>
            </w:pPr>
            <w:r w:rsidRPr="00B71D20">
              <w:rPr>
                <w:color w:val="000000"/>
              </w:rPr>
              <w:t>GAC</w:t>
            </w:r>
            <w:r>
              <w:rPr>
                <w:color w:val="000000"/>
              </w:rPr>
              <w:t>/</w:t>
            </w:r>
          </w:p>
          <w:p w14:paraId="4BEBE5C0" w14:textId="32758582" w:rsidR="00E12B44" w:rsidRDefault="00425E57" w:rsidP="00425E57">
            <w:pPr>
              <w:jc w:val="center"/>
              <w:rPr>
                <w:color w:val="000000"/>
              </w:rPr>
            </w:pPr>
            <w:r>
              <w:rPr>
                <w:color w:val="000000"/>
              </w:rPr>
              <w:t>GAA</w:t>
            </w:r>
            <w:r w:rsidR="00A9377F">
              <w:rPr>
                <w:color w:val="000000"/>
              </w:rPr>
              <w:t>*</w:t>
            </w:r>
            <w:r w:rsidR="00E12B44">
              <w:rPr>
                <w:color w:val="000000"/>
              </w:rPr>
              <w:t>/</w:t>
            </w:r>
          </w:p>
          <w:p w14:paraId="16F7CD42" w14:textId="33953259" w:rsidR="00425E57" w:rsidRPr="00B71D20" w:rsidRDefault="00E12B44" w:rsidP="00425E57">
            <w:pPr>
              <w:jc w:val="center"/>
              <w:rPr>
                <w:color w:val="000000"/>
              </w:rPr>
            </w:pPr>
            <w:r>
              <w:rPr>
                <w:color w:val="000000"/>
              </w:rPr>
              <w:t>GAB</w:t>
            </w:r>
            <w:r w:rsidR="00A9377F">
              <w:rPr>
                <w:color w:val="000000"/>
              </w:rPr>
              <w:t>*</w:t>
            </w:r>
          </w:p>
        </w:tc>
        <w:tc>
          <w:tcPr>
            <w:tcW w:w="564" w:type="pct"/>
            <w:shd w:val="clear" w:color="auto" w:fill="FFFFFF"/>
            <w:vAlign w:val="center"/>
          </w:tcPr>
          <w:p w14:paraId="3B8A1D91" w14:textId="77777777" w:rsidR="00425E57" w:rsidRDefault="00425E57" w:rsidP="00E12B44">
            <w:pPr>
              <w:jc w:val="center"/>
              <w:rPr>
                <w:color w:val="000000"/>
                <w:lang w:val="en-HK"/>
              </w:rPr>
            </w:pPr>
            <w:r>
              <w:rPr>
                <w:color w:val="000000"/>
                <w:lang w:val="en-HK"/>
              </w:rPr>
              <w:t>4</w:t>
            </w:r>
            <w:r w:rsidRPr="00B71D20">
              <w:rPr>
                <w:color w:val="000000"/>
                <w:lang w:val="en-HK"/>
              </w:rPr>
              <w:t>,000</w:t>
            </w:r>
            <w:r>
              <w:rPr>
                <w:color w:val="000000"/>
                <w:lang w:val="en-HK"/>
              </w:rPr>
              <w:t>/</w:t>
            </w:r>
          </w:p>
          <w:p w14:paraId="487CC77F" w14:textId="15745101" w:rsidR="00425E57" w:rsidRDefault="00425E57" w:rsidP="00425E57">
            <w:pPr>
              <w:jc w:val="center"/>
              <w:rPr>
                <w:color w:val="000000"/>
                <w:lang w:val="en-HK"/>
              </w:rPr>
            </w:pPr>
            <w:r>
              <w:rPr>
                <w:color w:val="000000"/>
                <w:lang w:val="en-HK"/>
              </w:rPr>
              <w:t>10,000</w:t>
            </w:r>
            <w:r w:rsidR="00E12B44">
              <w:rPr>
                <w:color w:val="000000"/>
                <w:lang w:val="en-HK"/>
              </w:rPr>
              <w:t>/</w:t>
            </w:r>
          </w:p>
          <w:p w14:paraId="700F7ED1" w14:textId="3626C0EE" w:rsidR="00E12B44" w:rsidRPr="00B71D20" w:rsidRDefault="00E12B44" w:rsidP="00425E57">
            <w:pPr>
              <w:jc w:val="center"/>
              <w:rPr>
                <w:color w:val="000000"/>
              </w:rPr>
            </w:pPr>
            <w:r>
              <w:rPr>
                <w:color w:val="000000"/>
                <w:lang w:val="en-HK"/>
              </w:rPr>
              <w:t>~5,600</w:t>
            </w:r>
          </w:p>
        </w:tc>
        <w:tc>
          <w:tcPr>
            <w:tcW w:w="419" w:type="pct"/>
            <w:shd w:val="clear" w:color="auto" w:fill="FFFFFF"/>
            <w:vAlign w:val="center"/>
          </w:tcPr>
          <w:p w14:paraId="1D81015A" w14:textId="77777777" w:rsidR="00425E57" w:rsidRDefault="00425E57" w:rsidP="00E12B44">
            <w:pPr>
              <w:jc w:val="center"/>
              <w:rPr>
                <w:color w:val="000000"/>
                <w:lang w:val="en-HK"/>
              </w:rPr>
            </w:pPr>
            <w:r>
              <w:rPr>
                <w:color w:val="000000"/>
                <w:lang w:val="en-HK"/>
              </w:rPr>
              <w:t>2/</w:t>
            </w:r>
          </w:p>
          <w:p w14:paraId="07C42F2D" w14:textId="6EA7B48E" w:rsidR="00425E57" w:rsidRDefault="00425E57" w:rsidP="00425E57">
            <w:pPr>
              <w:jc w:val="center"/>
              <w:rPr>
                <w:color w:val="000000"/>
                <w:lang w:val="en-HK"/>
              </w:rPr>
            </w:pPr>
            <w:r>
              <w:rPr>
                <w:color w:val="000000"/>
                <w:lang w:val="en-HK"/>
              </w:rPr>
              <w:t>5</w:t>
            </w:r>
            <w:r w:rsidR="00E12B44">
              <w:rPr>
                <w:color w:val="000000"/>
                <w:lang w:val="en-HK"/>
              </w:rPr>
              <w:t>/</w:t>
            </w:r>
          </w:p>
          <w:p w14:paraId="0104FCE6" w14:textId="523D612A" w:rsidR="00E12B44" w:rsidRPr="00B71D20" w:rsidRDefault="00E12B44" w:rsidP="00425E57">
            <w:pPr>
              <w:jc w:val="center"/>
              <w:rPr>
                <w:color w:val="000000"/>
              </w:rPr>
            </w:pPr>
            <w:r>
              <w:rPr>
                <w:color w:val="000000"/>
                <w:lang w:val="en-HK"/>
              </w:rPr>
              <w:t>~2.8</w:t>
            </w:r>
          </w:p>
        </w:tc>
        <w:tc>
          <w:tcPr>
            <w:tcW w:w="304" w:type="pct"/>
            <w:shd w:val="clear" w:color="auto" w:fill="FFFFFF"/>
            <w:vAlign w:val="center"/>
          </w:tcPr>
          <w:p w14:paraId="3766A87F" w14:textId="77777777" w:rsidR="00425E57" w:rsidRPr="00B71D20" w:rsidRDefault="00425E57" w:rsidP="00E12B44">
            <w:pPr>
              <w:jc w:val="center"/>
              <w:rPr>
                <w:color w:val="000000"/>
                <w:lang w:val="en-HK"/>
              </w:rPr>
            </w:pPr>
            <w:r>
              <w:rPr>
                <w:color w:val="000000"/>
                <w:lang w:val="en-HK"/>
              </w:rPr>
              <w:t>1</w:t>
            </w:r>
          </w:p>
        </w:tc>
      </w:tr>
      <w:tr w:rsidR="00425E57" w:rsidRPr="00B71D20" w14:paraId="5317D896" w14:textId="77777777" w:rsidTr="0095215C">
        <w:trPr>
          <w:tblCellSpacing w:w="15" w:type="dxa"/>
        </w:trPr>
        <w:tc>
          <w:tcPr>
            <w:tcW w:w="232" w:type="pct"/>
            <w:shd w:val="clear" w:color="auto" w:fill="FFFFFF"/>
            <w:vAlign w:val="center"/>
          </w:tcPr>
          <w:p w14:paraId="5036F6D4" w14:textId="0C52741E" w:rsidR="00425E57" w:rsidRPr="00B71D20" w:rsidRDefault="00425E57" w:rsidP="00E12B44">
            <w:pPr>
              <w:jc w:val="center"/>
              <w:rPr>
                <w:color w:val="000000"/>
              </w:rPr>
            </w:pPr>
            <w:r>
              <w:rPr>
                <w:color w:val="000000"/>
              </w:rPr>
              <w:t>22</w:t>
            </w:r>
          </w:p>
        </w:tc>
        <w:tc>
          <w:tcPr>
            <w:tcW w:w="310" w:type="pct"/>
            <w:shd w:val="clear" w:color="auto" w:fill="FFFFFF"/>
            <w:vAlign w:val="center"/>
          </w:tcPr>
          <w:p w14:paraId="67A813A1" w14:textId="77777777" w:rsidR="00425E57" w:rsidRPr="00B71D20" w:rsidRDefault="00425E57" w:rsidP="00E12B44">
            <w:pPr>
              <w:jc w:val="center"/>
              <w:rPr>
                <w:color w:val="000000"/>
              </w:rPr>
            </w:pPr>
            <w:r w:rsidRPr="00B71D20">
              <w:rPr>
                <w:color w:val="000000"/>
                <w:lang w:val="en-HK"/>
              </w:rPr>
              <w:t>2333</w:t>
            </w:r>
          </w:p>
        </w:tc>
        <w:tc>
          <w:tcPr>
            <w:tcW w:w="2631" w:type="pct"/>
            <w:shd w:val="clear" w:color="auto" w:fill="FFFFFF"/>
            <w:vAlign w:val="center"/>
          </w:tcPr>
          <w:p w14:paraId="360607EB" w14:textId="77777777" w:rsidR="00425E57" w:rsidRPr="00B71D20" w:rsidRDefault="00425E57" w:rsidP="00E12B44">
            <w:pPr>
              <w:rPr>
                <w:color w:val="000000"/>
                <w:lang w:val="en-GB"/>
              </w:rPr>
            </w:pPr>
            <w:r>
              <w:rPr>
                <w:color w:val="000000"/>
                <w:lang w:val="en-GB"/>
              </w:rPr>
              <w:t>Great Wall Motor Co. Ltd.</w:t>
            </w:r>
          </w:p>
        </w:tc>
        <w:tc>
          <w:tcPr>
            <w:tcW w:w="419" w:type="pct"/>
            <w:shd w:val="clear" w:color="auto" w:fill="FFFFFF"/>
            <w:vAlign w:val="center"/>
          </w:tcPr>
          <w:p w14:paraId="206A8296" w14:textId="77777777" w:rsidR="00425E57" w:rsidRPr="00B71D20" w:rsidRDefault="00425E57" w:rsidP="00E12B44">
            <w:pPr>
              <w:jc w:val="center"/>
              <w:rPr>
                <w:color w:val="000000"/>
              </w:rPr>
            </w:pPr>
            <w:r w:rsidRPr="00B71D20">
              <w:rPr>
                <w:color w:val="000000"/>
                <w:lang w:val="en-HK"/>
              </w:rPr>
              <w:t>GWM</w:t>
            </w:r>
          </w:p>
        </w:tc>
        <w:tc>
          <w:tcPr>
            <w:tcW w:w="564" w:type="pct"/>
            <w:shd w:val="clear" w:color="auto" w:fill="FFFFFF"/>
            <w:vAlign w:val="center"/>
          </w:tcPr>
          <w:p w14:paraId="31208185"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47159AAA" w14:textId="77777777" w:rsidR="00425E57" w:rsidRPr="00B71D20" w:rsidRDefault="00425E57" w:rsidP="00E12B44">
            <w:pPr>
              <w:jc w:val="center"/>
              <w:rPr>
                <w:color w:val="000000"/>
              </w:rPr>
            </w:pPr>
            <w:r w:rsidRPr="00B71D20">
              <w:rPr>
                <w:color w:val="000000"/>
                <w:lang w:val="en-HK"/>
              </w:rPr>
              <w:t>20</w:t>
            </w:r>
          </w:p>
        </w:tc>
        <w:tc>
          <w:tcPr>
            <w:tcW w:w="304" w:type="pct"/>
            <w:shd w:val="clear" w:color="auto" w:fill="FFFFFF"/>
          </w:tcPr>
          <w:p w14:paraId="22DB5350" w14:textId="77777777" w:rsidR="00425E57" w:rsidRPr="00B71D20" w:rsidRDefault="00425E57" w:rsidP="00E12B44">
            <w:pPr>
              <w:jc w:val="center"/>
              <w:rPr>
                <w:color w:val="000000"/>
                <w:lang w:val="en-HK"/>
              </w:rPr>
            </w:pPr>
            <w:r>
              <w:rPr>
                <w:color w:val="000000"/>
                <w:lang w:val="en-HK"/>
              </w:rPr>
              <w:t>1</w:t>
            </w:r>
          </w:p>
        </w:tc>
      </w:tr>
      <w:tr w:rsidR="00425E57" w:rsidRPr="00B71D20" w14:paraId="47F45362" w14:textId="77777777" w:rsidTr="0095215C">
        <w:trPr>
          <w:tblCellSpacing w:w="15" w:type="dxa"/>
        </w:trPr>
        <w:tc>
          <w:tcPr>
            <w:tcW w:w="232" w:type="pct"/>
            <w:shd w:val="clear" w:color="auto" w:fill="FFFFFF"/>
            <w:vAlign w:val="center"/>
          </w:tcPr>
          <w:p w14:paraId="54DCD8FE" w14:textId="77777777" w:rsidR="00425E57" w:rsidRPr="00B71D20" w:rsidRDefault="00425E57" w:rsidP="00E12B44">
            <w:pPr>
              <w:jc w:val="center"/>
              <w:rPr>
                <w:color w:val="000000"/>
              </w:rPr>
            </w:pPr>
            <w:r>
              <w:rPr>
                <w:color w:val="000000"/>
              </w:rPr>
              <w:t>23</w:t>
            </w:r>
          </w:p>
        </w:tc>
        <w:tc>
          <w:tcPr>
            <w:tcW w:w="310" w:type="pct"/>
            <w:shd w:val="clear" w:color="auto" w:fill="FFFFFF"/>
            <w:vAlign w:val="center"/>
          </w:tcPr>
          <w:p w14:paraId="377D74B2" w14:textId="77777777" w:rsidR="00425E57" w:rsidRPr="00B71D20" w:rsidRDefault="00425E57" w:rsidP="00E12B44">
            <w:pPr>
              <w:jc w:val="center"/>
              <w:rPr>
                <w:color w:val="000000"/>
              </w:rPr>
            </w:pPr>
            <w:r w:rsidRPr="00B71D20">
              <w:rPr>
                <w:color w:val="000000"/>
                <w:lang w:val="en-HK"/>
              </w:rPr>
              <w:t>2357</w:t>
            </w:r>
          </w:p>
        </w:tc>
        <w:tc>
          <w:tcPr>
            <w:tcW w:w="2631" w:type="pct"/>
            <w:shd w:val="clear" w:color="auto" w:fill="FFFFFF"/>
            <w:vAlign w:val="center"/>
          </w:tcPr>
          <w:p w14:paraId="62F2A422" w14:textId="77777777" w:rsidR="00425E57" w:rsidRPr="00B71D20" w:rsidRDefault="00425E57" w:rsidP="00E12B44">
            <w:pPr>
              <w:rPr>
                <w:color w:val="000000"/>
                <w:lang w:val="en-GB"/>
              </w:rPr>
            </w:pPr>
            <w:proofErr w:type="spellStart"/>
            <w:r w:rsidRPr="00B71D20">
              <w:rPr>
                <w:color w:val="000000"/>
                <w:lang w:val="en-GB"/>
              </w:rPr>
              <w:t>AviChina</w:t>
            </w:r>
            <w:proofErr w:type="spellEnd"/>
            <w:r w:rsidRPr="00B71D20">
              <w:rPr>
                <w:color w:val="000000"/>
                <w:lang w:val="en-GB"/>
              </w:rPr>
              <w:t xml:space="preserve"> </w:t>
            </w:r>
            <w:r>
              <w:rPr>
                <w:color w:val="000000"/>
                <w:lang w:val="en-GB"/>
              </w:rPr>
              <w:t>Industry &amp; Technology Co. Ltd.</w:t>
            </w:r>
          </w:p>
        </w:tc>
        <w:tc>
          <w:tcPr>
            <w:tcW w:w="419" w:type="pct"/>
            <w:shd w:val="clear" w:color="auto" w:fill="FFFFFF"/>
            <w:vAlign w:val="center"/>
          </w:tcPr>
          <w:p w14:paraId="118F9388" w14:textId="77777777" w:rsidR="00425E57" w:rsidRPr="00B71D20" w:rsidRDefault="00425E57" w:rsidP="00E12B44">
            <w:pPr>
              <w:jc w:val="center"/>
              <w:rPr>
                <w:color w:val="000000"/>
              </w:rPr>
            </w:pPr>
            <w:r w:rsidRPr="00B71D20">
              <w:rPr>
                <w:color w:val="000000"/>
                <w:lang w:val="en-HK"/>
              </w:rPr>
              <w:t>AVI</w:t>
            </w:r>
          </w:p>
        </w:tc>
        <w:tc>
          <w:tcPr>
            <w:tcW w:w="564" w:type="pct"/>
            <w:shd w:val="clear" w:color="auto" w:fill="FFFFFF"/>
            <w:vAlign w:val="center"/>
          </w:tcPr>
          <w:p w14:paraId="4C1B8074"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561BB6E2" w14:textId="77777777" w:rsidR="00425E57" w:rsidRPr="00B71D20" w:rsidRDefault="00425E57" w:rsidP="00E12B44">
            <w:pPr>
              <w:jc w:val="center"/>
              <w:rPr>
                <w:color w:val="000000"/>
              </w:rPr>
            </w:pPr>
            <w:r w:rsidRPr="00B71D20">
              <w:rPr>
                <w:color w:val="000000"/>
                <w:lang w:val="en-HK"/>
              </w:rPr>
              <w:t>10</w:t>
            </w:r>
          </w:p>
        </w:tc>
        <w:tc>
          <w:tcPr>
            <w:tcW w:w="304" w:type="pct"/>
            <w:shd w:val="clear" w:color="auto" w:fill="FFFFFF"/>
          </w:tcPr>
          <w:p w14:paraId="0043E6A7" w14:textId="77777777" w:rsidR="00425E57" w:rsidRPr="00B71D20" w:rsidRDefault="00425E57" w:rsidP="00E12B44">
            <w:pPr>
              <w:jc w:val="center"/>
              <w:rPr>
                <w:color w:val="000000"/>
                <w:lang w:val="en-HK"/>
              </w:rPr>
            </w:pPr>
            <w:r>
              <w:rPr>
                <w:color w:val="000000"/>
                <w:lang w:val="en-HK"/>
              </w:rPr>
              <w:t>1</w:t>
            </w:r>
          </w:p>
        </w:tc>
      </w:tr>
      <w:tr w:rsidR="00425E57" w:rsidRPr="00B71D20" w14:paraId="64496561" w14:textId="77777777" w:rsidTr="0095215C">
        <w:trPr>
          <w:tblCellSpacing w:w="15" w:type="dxa"/>
        </w:trPr>
        <w:tc>
          <w:tcPr>
            <w:tcW w:w="232" w:type="pct"/>
            <w:shd w:val="clear" w:color="auto" w:fill="FFFFFF"/>
            <w:vAlign w:val="center"/>
          </w:tcPr>
          <w:p w14:paraId="032FB1B8" w14:textId="77777777" w:rsidR="00425E57" w:rsidRPr="00EA0A50" w:rsidRDefault="00425E57" w:rsidP="00E12B44">
            <w:pPr>
              <w:jc w:val="center"/>
              <w:rPr>
                <w:color w:val="000000"/>
              </w:rPr>
            </w:pPr>
            <w:r>
              <w:rPr>
                <w:color w:val="000000"/>
              </w:rPr>
              <w:t>24</w:t>
            </w:r>
          </w:p>
        </w:tc>
        <w:tc>
          <w:tcPr>
            <w:tcW w:w="310" w:type="pct"/>
            <w:shd w:val="clear" w:color="auto" w:fill="FFFFFF"/>
          </w:tcPr>
          <w:p w14:paraId="57C19CE9" w14:textId="77777777" w:rsidR="00425E57" w:rsidRPr="00EA0A50" w:rsidRDefault="00425E57" w:rsidP="00E12B44">
            <w:pPr>
              <w:jc w:val="center"/>
              <w:rPr>
                <w:color w:val="000000"/>
                <w:lang w:val="en-HK"/>
              </w:rPr>
            </w:pPr>
            <w:r w:rsidRPr="00EA0A50">
              <w:rPr>
                <w:rFonts w:eastAsia="Times New Roman"/>
                <w:color w:val="000000" w:themeColor="text1"/>
              </w:rPr>
              <w:t>2382</w:t>
            </w:r>
          </w:p>
        </w:tc>
        <w:tc>
          <w:tcPr>
            <w:tcW w:w="2631" w:type="pct"/>
            <w:shd w:val="clear" w:color="auto" w:fill="FFFFFF"/>
          </w:tcPr>
          <w:p w14:paraId="39AD71E9" w14:textId="77777777" w:rsidR="00425E57" w:rsidRPr="00EA0A50" w:rsidRDefault="00425E57" w:rsidP="00E12B44">
            <w:pPr>
              <w:rPr>
                <w:color w:val="000000"/>
                <w:lang w:val="en-GB"/>
              </w:rPr>
            </w:pPr>
            <w:r w:rsidRPr="00EA0A50">
              <w:rPr>
                <w:rFonts w:eastAsia="Times New Roman"/>
                <w:color w:val="000000" w:themeColor="text1"/>
              </w:rPr>
              <w:t>Sunny Optical Technology (Group) Co. Ltd.</w:t>
            </w:r>
          </w:p>
        </w:tc>
        <w:tc>
          <w:tcPr>
            <w:tcW w:w="419" w:type="pct"/>
            <w:shd w:val="clear" w:color="auto" w:fill="FFFFFF"/>
          </w:tcPr>
          <w:p w14:paraId="4DF7CB44" w14:textId="77777777" w:rsidR="00425E57" w:rsidRPr="00EA0A50" w:rsidRDefault="00425E57" w:rsidP="00E12B44">
            <w:pPr>
              <w:jc w:val="center"/>
              <w:rPr>
                <w:color w:val="000000"/>
                <w:lang w:val="en-HK"/>
              </w:rPr>
            </w:pPr>
            <w:r w:rsidRPr="00EA0A50">
              <w:rPr>
                <w:rFonts w:eastAsia="Times New Roman"/>
                <w:color w:val="000000" w:themeColor="text1"/>
              </w:rPr>
              <w:t>SNO</w:t>
            </w:r>
          </w:p>
        </w:tc>
        <w:tc>
          <w:tcPr>
            <w:tcW w:w="564" w:type="pct"/>
            <w:shd w:val="clear" w:color="auto" w:fill="FFFFFF"/>
          </w:tcPr>
          <w:p w14:paraId="363DBE74" w14:textId="77777777" w:rsidR="00425E57" w:rsidRPr="00EA0A50" w:rsidRDefault="00425E57" w:rsidP="00E12B44">
            <w:pPr>
              <w:jc w:val="center"/>
              <w:rPr>
                <w:color w:val="000000"/>
                <w:lang w:val="en-HK"/>
              </w:rPr>
            </w:pPr>
            <w:r w:rsidRPr="00EA0A50">
              <w:rPr>
                <w:rFonts w:eastAsia="Times New Roman"/>
                <w:color w:val="000000" w:themeColor="text1"/>
              </w:rPr>
              <w:t>1,000</w:t>
            </w:r>
          </w:p>
        </w:tc>
        <w:tc>
          <w:tcPr>
            <w:tcW w:w="419" w:type="pct"/>
            <w:shd w:val="clear" w:color="auto" w:fill="FFFFFF"/>
          </w:tcPr>
          <w:p w14:paraId="79C03E4E" w14:textId="77777777" w:rsidR="00425E57" w:rsidRPr="00EA0A50" w:rsidRDefault="00425E57" w:rsidP="00E12B44">
            <w:pPr>
              <w:jc w:val="center"/>
              <w:rPr>
                <w:color w:val="000000"/>
                <w:lang w:val="en-HK"/>
              </w:rPr>
            </w:pPr>
            <w:r w:rsidRPr="00EA0A50">
              <w:rPr>
                <w:rFonts w:eastAsia="Times New Roman"/>
                <w:color w:val="000000" w:themeColor="text1"/>
              </w:rPr>
              <w:t>10</w:t>
            </w:r>
          </w:p>
        </w:tc>
        <w:tc>
          <w:tcPr>
            <w:tcW w:w="304" w:type="pct"/>
            <w:shd w:val="clear" w:color="auto" w:fill="FFFFFF"/>
          </w:tcPr>
          <w:p w14:paraId="5F233231" w14:textId="77777777" w:rsidR="00425E57" w:rsidRPr="00EA0A5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6C1DB4FB" w14:textId="77777777" w:rsidTr="0095215C">
        <w:trPr>
          <w:tblCellSpacing w:w="15" w:type="dxa"/>
        </w:trPr>
        <w:tc>
          <w:tcPr>
            <w:tcW w:w="232" w:type="pct"/>
            <w:shd w:val="clear" w:color="auto" w:fill="auto"/>
            <w:vAlign w:val="center"/>
          </w:tcPr>
          <w:p w14:paraId="6EC3236F" w14:textId="77777777" w:rsidR="00425E57" w:rsidRPr="00693C03" w:rsidRDefault="00425E57" w:rsidP="00E12B44">
            <w:pPr>
              <w:jc w:val="center"/>
              <w:rPr>
                <w:color w:val="000000"/>
              </w:rPr>
            </w:pPr>
            <w:r>
              <w:rPr>
                <w:color w:val="000000"/>
              </w:rPr>
              <w:t>25</w:t>
            </w:r>
          </w:p>
        </w:tc>
        <w:tc>
          <w:tcPr>
            <w:tcW w:w="310" w:type="pct"/>
            <w:shd w:val="clear" w:color="auto" w:fill="auto"/>
          </w:tcPr>
          <w:p w14:paraId="4F335A6D" w14:textId="77777777" w:rsidR="00425E57" w:rsidRPr="00693C03" w:rsidRDefault="00425E57" w:rsidP="00E12B44">
            <w:pPr>
              <w:jc w:val="center"/>
              <w:rPr>
                <w:rFonts w:eastAsia="Times New Roman"/>
              </w:rPr>
            </w:pPr>
            <w:r w:rsidRPr="00693C03">
              <w:rPr>
                <w:rFonts w:eastAsia="Times New Roman"/>
              </w:rPr>
              <w:t>2800</w:t>
            </w:r>
          </w:p>
        </w:tc>
        <w:tc>
          <w:tcPr>
            <w:tcW w:w="2631" w:type="pct"/>
            <w:shd w:val="clear" w:color="auto" w:fill="auto"/>
          </w:tcPr>
          <w:p w14:paraId="0020E03E" w14:textId="77777777" w:rsidR="00425E57" w:rsidRPr="00693C03" w:rsidRDefault="00425E57" w:rsidP="00E12B44">
            <w:pPr>
              <w:rPr>
                <w:rFonts w:eastAsia="Times New Roman"/>
              </w:rPr>
            </w:pPr>
            <w:r w:rsidRPr="00693C03">
              <w:rPr>
                <w:rFonts w:eastAsia="Times New Roman"/>
              </w:rPr>
              <w:t>Tracker Fund of Hong Kong</w:t>
            </w:r>
          </w:p>
        </w:tc>
        <w:tc>
          <w:tcPr>
            <w:tcW w:w="419" w:type="pct"/>
            <w:shd w:val="clear" w:color="auto" w:fill="auto"/>
          </w:tcPr>
          <w:p w14:paraId="0847596F" w14:textId="77777777" w:rsidR="00425E57" w:rsidRPr="00693C03" w:rsidRDefault="00425E57" w:rsidP="00E12B44">
            <w:pPr>
              <w:jc w:val="center"/>
              <w:rPr>
                <w:rFonts w:eastAsia="Times New Roman"/>
              </w:rPr>
            </w:pPr>
            <w:r w:rsidRPr="00693C03">
              <w:rPr>
                <w:rFonts w:eastAsia="Times New Roman"/>
              </w:rPr>
              <w:t>TRF</w:t>
            </w:r>
          </w:p>
        </w:tc>
        <w:tc>
          <w:tcPr>
            <w:tcW w:w="564" w:type="pct"/>
            <w:shd w:val="clear" w:color="auto" w:fill="auto"/>
          </w:tcPr>
          <w:p w14:paraId="343E9F90" w14:textId="77777777" w:rsidR="00425E57" w:rsidRPr="00693C03" w:rsidRDefault="00425E57" w:rsidP="00E12B44">
            <w:pPr>
              <w:jc w:val="center"/>
              <w:rPr>
                <w:rFonts w:eastAsia="Times New Roman"/>
              </w:rPr>
            </w:pPr>
            <w:r w:rsidRPr="00693C03">
              <w:rPr>
                <w:rFonts w:eastAsia="Times New Roman"/>
              </w:rPr>
              <w:t>50,000</w:t>
            </w:r>
          </w:p>
        </w:tc>
        <w:tc>
          <w:tcPr>
            <w:tcW w:w="419" w:type="pct"/>
            <w:shd w:val="clear" w:color="auto" w:fill="auto"/>
          </w:tcPr>
          <w:p w14:paraId="617C2DEB" w14:textId="77777777" w:rsidR="00425E57" w:rsidRPr="00693C03" w:rsidRDefault="00425E57" w:rsidP="00E12B44">
            <w:pPr>
              <w:jc w:val="center"/>
              <w:rPr>
                <w:rFonts w:eastAsia="Times New Roman"/>
              </w:rPr>
            </w:pPr>
            <w:r w:rsidRPr="00693C03">
              <w:rPr>
                <w:rFonts w:eastAsia="Times New Roman"/>
              </w:rPr>
              <w:t>100</w:t>
            </w:r>
          </w:p>
        </w:tc>
        <w:tc>
          <w:tcPr>
            <w:tcW w:w="304" w:type="pct"/>
            <w:shd w:val="clear" w:color="auto" w:fill="auto"/>
          </w:tcPr>
          <w:p w14:paraId="73FA806C" w14:textId="77777777" w:rsidR="00425E57" w:rsidRPr="00693C03" w:rsidRDefault="00425E57" w:rsidP="00E12B44">
            <w:pPr>
              <w:jc w:val="center"/>
              <w:rPr>
                <w:rFonts w:eastAsia="Times New Roman"/>
              </w:rPr>
            </w:pPr>
            <w:r>
              <w:rPr>
                <w:rFonts w:eastAsia="Times New Roman"/>
              </w:rPr>
              <w:t>1</w:t>
            </w:r>
          </w:p>
        </w:tc>
      </w:tr>
      <w:tr w:rsidR="00425E57" w:rsidRPr="00B71D20" w14:paraId="57AB73FA" w14:textId="77777777" w:rsidTr="0095215C">
        <w:trPr>
          <w:tblCellSpacing w:w="15" w:type="dxa"/>
        </w:trPr>
        <w:tc>
          <w:tcPr>
            <w:tcW w:w="232" w:type="pct"/>
            <w:shd w:val="clear" w:color="auto" w:fill="auto"/>
            <w:vAlign w:val="center"/>
          </w:tcPr>
          <w:p w14:paraId="4AB4E3DD" w14:textId="77777777" w:rsidR="00425E57" w:rsidRPr="00693C03" w:rsidRDefault="00425E57" w:rsidP="00E12B44">
            <w:pPr>
              <w:jc w:val="center"/>
              <w:rPr>
                <w:color w:val="000000"/>
              </w:rPr>
            </w:pPr>
            <w:r>
              <w:rPr>
                <w:color w:val="000000"/>
              </w:rPr>
              <w:t>26</w:t>
            </w:r>
          </w:p>
        </w:tc>
        <w:tc>
          <w:tcPr>
            <w:tcW w:w="310" w:type="pct"/>
            <w:shd w:val="clear" w:color="auto" w:fill="auto"/>
          </w:tcPr>
          <w:p w14:paraId="189677AB" w14:textId="77777777" w:rsidR="00425E57" w:rsidRPr="00693C03" w:rsidRDefault="00425E57" w:rsidP="00E12B44">
            <w:pPr>
              <w:jc w:val="center"/>
              <w:rPr>
                <w:lang w:val="en-HK"/>
              </w:rPr>
            </w:pPr>
            <w:r w:rsidRPr="00693C03">
              <w:rPr>
                <w:rFonts w:eastAsia="Times New Roman"/>
              </w:rPr>
              <w:t>2822</w:t>
            </w:r>
          </w:p>
        </w:tc>
        <w:tc>
          <w:tcPr>
            <w:tcW w:w="2631" w:type="pct"/>
            <w:shd w:val="clear" w:color="auto" w:fill="auto"/>
          </w:tcPr>
          <w:p w14:paraId="5F79A18D" w14:textId="77777777" w:rsidR="00425E57" w:rsidRPr="00693C03" w:rsidRDefault="00425E57" w:rsidP="00E12B44">
            <w:pPr>
              <w:rPr>
                <w:lang w:val="en-GB"/>
              </w:rPr>
            </w:pPr>
            <w:r w:rsidRPr="00693C03">
              <w:rPr>
                <w:rFonts w:eastAsia="Times New Roman"/>
              </w:rPr>
              <w:t>CSOP FTSE China A50 ETF</w:t>
            </w:r>
          </w:p>
        </w:tc>
        <w:tc>
          <w:tcPr>
            <w:tcW w:w="419" w:type="pct"/>
            <w:shd w:val="clear" w:color="auto" w:fill="auto"/>
          </w:tcPr>
          <w:p w14:paraId="58379489" w14:textId="77777777" w:rsidR="00425E57" w:rsidRPr="00693C03" w:rsidRDefault="00425E57" w:rsidP="00E12B44">
            <w:pPr>
              <w:jc w:val="center"/>
              <w:rPr>
                <w:lang w:val="en-HK"/>
              </w:rPr>
            </w:pPr>
            <w:r w:rsidRPr="00693C03">
              <w:rPr>
                <w:rFonts w:eastAsia="Times New Roman"/>
              </w:rPr>
              <w:t>CSA</w:t>
            </w:r>
          </w:p>
        </w:tc>
        <w:tc>
          <w:tcPr>
            <w:tcW w:w="564" w:type="pct"/>
            <w:shd w:val="clear" w:color="auto" w:fill="auto"/>
          </w:tcPr>
          <w:p w14:paraId="674A1E57" w14:textId="77777777" w:rsidR="00425E57" w:rsidRPr="00693C03" w:rsidRDefault="00425E57" w:rsidP="00E12B44">
            <w:pPr>
              <w:jc w:val="center"/>
              <w:rPr>
                <w:lang w:val="en-HK"/>
              </w:rPr>
            </w:pPr>
            <w:r w:rsidRPr="00693C03">
              <w:rPr>
                <w:rFonts w:eastAsia="Times New Roman"/>
              </w:rPr>
              <w:t>5,000</w:t>
            </w:r>
          </w:p>
        </w:tc>
        <w:tc>
          <w:tcPr>
            <w:tcW w:w="419" w:type="pct"/>
            <w:shd w:val="clear" w:color="auto" w:fill="auto"/>
          </w:tcPr>
          <w:p w14:paraId="217ACFE4" w14:textId="77777777" w:rsidR="00425E57" w:rsidRPr="00693C03" w:rsidRDefault="00425E57" w:rsidP="00E12B44">
            <w:pPr>
              <w:jc w:val="center"/>
              <w:rPr>
                <w:lang w:val="en-HK"/>
              </w:rPr>
            </w:pPr>
            <w:r w:rsidRPr="00693C03">
              <w:rPr>
                <w:rFonts w:eastAsia="Times New Roman"/>
              </w:rPr>
              <w:t>25</w:t>
            </w:r>
          </w:p>
        </w:tc>
        <w:tc>
          <w:tcPr>
            <w:tcW w:w="304" w:type="pct"/>
            <w:shd w:val="clear" w:color="auto" w:fill="auto"/>
          </w:tcPr>
          <w:p w14:paraId="7F8620F6" w14:textId="77777777" w:rsidR="00425E57" w:rsidRPr="00693C03" w:rsidRDefault="00425E57" w:rsidP="00E12B44">
            <w:pPr>
              <w:jc w:val="center"/>
              <w:rPr>
                <w:rFonts w:eastAsia="Times New Roman"/>
              </w:rPr>
            </w:pPr>
            <w:r>
              <w:rPr>
                <w:rFonts w:eastAsia="Times New Roman"/>
              </w:rPr>
              <w:t>1</w:t>
            </w:r>
          </w:p>
        </w:tc>
      </w:tr>
      <w:tr w:rsidR="00425E57" w:rsidRPr="00B71D20" w14:paraId="3536B40C" w14:textId="77777777" w:rsidTr="0095215C">
        <w:trPr>
          <w:tblCellSpacing w:w="15" w:type="dxa"/>
        </w:trPr>
        <w:tc>
          <w:tcPr>
            <w:tcW w:w="232" w:type="pct"/>
            <w:shd w:val="clear" w:color="auto" w:fill="auto"/>
            <w:vAlign w:val="center"/>
          </w:tcPr>
          <w:p w14:paraId="678D2C56" w14:textId="77777777" w:rsidR="00425E57" w:rsidRPr="00693C03" w:rsidRDefault="00425E57" w:rsidP="00E12B44">
            <w:pPr>
              <w:jc w:val="center"/>
              <w:rPr>
                <w:color w:val="000000"/>
              </w:rPr>
            </w:pPr>
            <w:r>
              <w:rPr>
                <w:color w:val="000000"/>
              </w:rPr>
              <w:t>27</w:t>
            </w:r>
          </w:p>
        </w:tc>
        <w:tc>
          <w:tcPr>
            <w:tcW w:w="310" w:type="pct"/>
            <w:shd w:val="clear" w:color="auto" w:fill="auto"/>
          </w:tcPr>
          <w:p w14:paraId="2DEADC60" w14:textId="77777777" w:rsidR="00425E57" w:rsidRPr="00693C03" w:rsidRDefault="00425E57" w:rsidP="00E12B44">
            <w:pPr>
              <w:jc w:val="center"/>
              <w:rPr>
                <w:lang w:val="en-HK"/>
              </w:rPr>
            </w:pPr>
            <w:r w:rsidRPr="00693C03">
              <w:rPr>
                <w:rFonts w:eastAsia="Times New Roman"/>
              </w:rPr>
              <w:t>2823</w:t>
            </w:r>
          </w:p>
        </w:tc>
        <w:tc>
          <w:tcPr>
            <w:tcW w:w="2631" w:type="pct"/>
            <w:shd w:val="clear" w:color="auto" w:fill="auto"/>
          </w:tcPr>
          <w:p w14:paraId="26150F64" w14:textId="77777777" w:rsidR="00425E57" w:rsidRPr="00693C03" w:rsidRDefault="00425E57" w:rsidP="00E12B44">
            <w:pPr>
              <w:rPr>
                <w:lang w:val="en-GB"/>
              </w:rPr>
            </w:pPr>
            <w:r w:rsidRPr="00693C03">
              <w:rPr>
                <w:rFonts w:eastAsia="Times New Roman"/>
              </w:rPr>
              <w:t>iShares FTSE A50 China Index ETF</w:t>
            </w:r>
          </w:p>
        </w:tc>
        <w:tc>
          <w:tcPr>
            <w:tcW w:w="419" w:type="pct"/>
            <w:shd w:val="clear" w:color="auto" w:fill="auto"/>
          </w:tcPr>
          <w:p w14:paraId="10FC31DE" w14:textId="77777777" w:rsidR="00425E57" w:rsidRPr="00693C03" w:rsidRDefault="00425E57" w:rsidP="00E12B44">
            <w:pPr>
              <w:jc w:val="center"/>
              <w:rPr>
                <w:lang w:val="en-HK"/>
              </w:rPr>
            </w:pPr>
            <w:r w:rsidRPr="00693C03">
              <w:rPr>
                <w:rFonts w:eastAsia="Times New Roman"/>
              </w:rPr>
              <w:t>A50</w:t>
            </w:r>
          </w:p>
        </w:tc>
        <w:tc>
          <w:tcPr>
            <w:tcW w:w="564" w:type="pct"/>
            <w:shd w:val="clear" w:color="auto" w:fill="auto"/>
          </w:tcPr>
          <w:p w14:paraId="3611D084" w14:textId="77777777" w:rsidR="00425E57" w:rsidRPr="00693C03" w:rsidRDefault="00425E57" w:rsidP="00E12B44">
            <w:pPr>
              <w:jc w:val="center"/>
              <w:rPr>
                <w:lang w:val="en-HK"/>
              </w:rPr>
            </w:pPr>
            <w:r w:rsidRPr="00693C03">
              <w:rPr>
                <w:rFonts w:eastAsia="Times New Roman"/>
              </w:rPr>
              <w:t>5,000</w:t>
            </w:r>
          </w:p>
        </w:tc>
        <w:tc>
          <w:tcPr>
            <w:tcW w:w="419" w:type="pct"/>
            <w:shd w:val="clear" w:color="auto" w:fill="auto"/>
          </w:tcPr>
          <w:p w14:paraId="64791AA3" w14:textId="77777777" w:rsidR="00425E57" w:rsidRPr="00693C03" w:rsidRDefault="00425E57" w:rsidP="00E12B44">
            <w:pPr>
              <w:jc w:val="center"/>
              <w:rPr>
                <w:lang w:val="en-HK"/>
              </w:rPr>
            </w:pPr>
            <w:r w:rsidRPr="00693C03">
              <w:rPr>
                <w:rFonts w:eastAsia="Times New Roman"/>
              </w:rPr>
              <w:t>50</w:t>
            </w:r>
          </w:p>
        </w:tc>
        <w:tc>
          <w:tcPr>
            <w:tcW w:w="304" w:type="pct"/>
            <w:shd w:val="clear" w:color="auto" w:fill="auto"/>
          </w:tcPr>
          <w:p w14:paraId="14FFD262" w14:textId="77777777" w:rsidR="00425E57" w:rsidRPr="00693C03" w:rsidRDefault="00425E57" w:rsidP="00E12B44">
            <w:pPr>
              <w:jc w:val="center"/>
              <w:rPr>
                <w:rFonts w:eastAsia="Times New Roman"/>
              </w:rPr>
            </w:pPr>
            <w:r>
              <w:rPr>
                <w:rFonts w:eastAsia="Times New Roman"/>
              </w:rPr>
              <w:t>1</w:t>
            </w:r>
          </w:p>
        </w:tc>
      </w:tr>
      <w:tr w:rsidR="00425E57" w:rsidRPr="00B71D20" w14:paraId="7929F933" w14:textId="77777777" w:rsidTr="0095215C">
        <w:trPr>
          <w:tblCellSpacing w:w="15" w:type="dxa"/>
        </w:trPr>
        <w:tc>
          <w:tcPr>
            <w:tcW w:w="232" w:type="pct"/>
            <w:shd w:val="clear" w:color="auto" w:fill="auto"/>
            <w:vAlign w:val="center"/>
          </w:tcPr>
          <w:p w14:paraId="0EA5FDEA" w14:textId="77777777" w:rsidR="00425E57" w:rsidRPr="00693C03" w:rsidRDefault="00425E57" w:rsidP="00E12B44">
            <w:pPr>
              <w:jc w:val="center"/>
              <w:rPr>
                <w:color w:val="000000"/>
              </w:rPr>
            </w:pPr>
            <w:r>
              <w:rPr>
                <w:color w:val="000000"/>
              </w:rPr>
              <w:t>28</w:t>
            </w:r>
          </w:p>
        </w:tc>
        <w:tc>
          <w:tcPr>
            <w:tcW w:w="310" w:type="pct"/>
            <w:shd w:val="clear" w:color="auto" w:fill="auto"/>
          </w:tcPr>
          <w:p w14:paraId="110AAD69" w14:textId="77777777" w:rsidR="00425E57" w:rsidRPr="00693C03" w:rsidRDefault="00425E57" w:rsidP="00E12B44">
            <w:pPr>
              <w:jc w:val="center"/>
              <w:rPr>
                <w:rFonts w:eastAsia="Times New Roman"/>
              </w:rPr>
            </w:pPr>
            <w:r w:rsidRPr="00693C03">
              <w:rPr>
                <w:rFonts w:eastAsia="Times New Roman"/>
              </w:rPr>
              <w:t>2828</w:t>
            </w:r>
          </w:p>
        </w:tc>
        <w:tc>
          <w:tcPr>
            <w:tcW w:w="2631" w:type="pct"/>
            <w:shd w:val="clear" w:color="auto" w:fill="auto"/>
          </w:tcPr>
          <w:p w14:paraId="61AB5FD9" w14:textId="77777777" w:rsidR="00425E57" w:rsidRPr="00693C03" w:rsidRDefault="00425E57" w:rsidP="00E12B44">
            <w:pPr>
              <w:rPr>
                <w:rFonts w:eastAsia="Times New Roman"/>
              </w:rPr>
            </w:pPr>
            <w:r w:rsidRPr="00693C03">
              <w:rPr>
                <w:rFonts w:eastAsia="Times New Roman"/>
              </w:rPr>
              <w:t>Hang Seng China Enterprises Index ET</w:t>
            </w:r>
            <w:r>
              <w:rPr>
                <w:rFonts w:eastAsia="Times New Roman"/>
              </w:rPr>
              <w:t>F</w:t>
            </w:r>
          </w:p>
        </w:tc>
        <w:tc>
          <w:tcPr>
            <w:tcW w:w="419" w:type="pct"/>
            <w:shd w:val="clear" w:color="auto" w:fill="auto"/>
          </w:tcPr>
          <w:p w14:paraId="0688E559" w14:textId="77777777" w:rsidR="00425E57" w:rsidRPr="00693C03" w:rsidRDefault="00425E57" w:rsidP="00E12B44">
            <w:pPr>
              <w:jc w:val="center"/>
              <w:rPr>
                <w:rFonts w:eastAsia="Times New Roman"/>
              </w:rPr>
            </w:pPr>
            <w:r w:rsidRPr="00693C03">
              <w:rPr>
                <w:rFonts w:eastAsia="Times New Roman"/>
              </w:rPr>
              <w:t>HCF</w:t>
            </w:r>
          </w:p>
        </w:tc>
        <w:tc>
          <w:tcPr>
            <w:tcW w:w="564" w:type="pct"/>
            <w:shd w:val="clear" w:color="auto" w:fill="auto"/>
          </w:tcPr>
          <w:p w14:paraId="4CD32ED2" w14:textId="77777777" w:rsidR="00425E57" w:rsidRPr="00693C03" w:rsidRDefault="00425E57" w:rsidP="00E12B44">
            <w:pPr>
              <w:jc w:val="center"/>
              <w:rPr>
                <w:rFonts w:eastAsia="Times New Roman"/>
              </w:rPr>
            </w:pPr>
            <w:r w:rsidRPr="00693C03">
              <w:rPr>
                <w:rFonts w:eastAsia="Times New Roman"/>
              </w:rPr>
              <w:t>5,000</w:t>
            </w:r>
          </w:p>
        </w:tc>
        <w:tc>
          <w:tcPr>
            <w:tcW w:w="419" w:type="pct"/>
            <w:shd w:val="clear" w:color="auto" w:fill="auto"/>
          </w:tcPr>
          <w:p w14:paraId="5CB7FD90" w14:textId="77777777" w:rsidR="00425E57" w:rsidRPr="00693C03" w:rsidRDefault="00425E57" w:rsidP="00E12B44">
            <w:pPr>
              <w:jc w:val="center"/>
              <w:rPr>
                <w:rFonts w:eastAsia="Times New Roman"/>
              </w:rPr>
            </w:pPr>
            <w:r w:rsidRPr="00693C03">
              <w:rPr>
                <w:rFonts w:eastAsia="Times New Roman"/>
              </w:rPr>
              <w:t>25</w:t>
            </w:r>
          </w:p>
        </w:tc>
        <w:tc>
          <w:tcPr>
            <w:tcW w:w="304" w:type="pct"/>
            <w:shd w:val="clear" w:color="auto" w:fill="auto"/>
          </w:tcPr>
          <w:p w14:paraId="19875DE6" w14:textId="77777777" w:rsidR="00425E57" w:rsidRPr="00693C03" w:rsidRDefault="00425E57" w:rsidP="00E12B44">
            <w:pPr>
              <w:jc w:val="center"/>
              <w:rPr>
                <w:rFonts w:eastAsia="Times New Roman"/>
              </w:rPr>
            </w:pPr>
            <w:r>
              <w:rPr>
                <w:rFonts w:eastAsia="Times New Roman"/>
              </w:rPr>
              <w:t>1</w:t>
            </w:r>
          </w:p>
        </w:tc>
      </w:tr>
      <w:tr w:rsidR="00425E57" w:rsidRPr="00B71D20" w14:paraId="623AADA9" w14:textId="77777777" w:rsidTr="0095215C">
        <w:trPr>
          <w:tblCellSpacing w:w="15" w:type="dxa"/>
        </w:trPr>
        <w:tc>
          <w:tcPr>
            <w:tcW w:w="232" w:type="pct"/>
            <w:shd w:val="clear" w:color="auto" w:fill="FFFFFF"/>
            <w:vAlign w:val="center"/>
          </w:tcPr>
          <w:p w14:paraId="5A49FFA7" w14:textId="77777777" w:rsidR="00425E57" w:rsidRPr="00B71D20" w:rsidRDefault="00425E57" w:rsidP="00E12B44">
            <w:pPr>
              <w:jc w:val="center"/>
              <w:rPr>
                <w:color w:val="000000"/>
              </w:rPr>
            </w:pPr>
            <w:r>
              <w:rPr>
                <w:color w:val="000000"/>
              </w:rPr>
              <w:t>29</w:t>
            </w:r>
          </w:p>
        </w:tc>
        <w:tc>
          <w:tcPr>
            <w:tcW w:w="310" w:type="pct"/>
            <w:shd w:val="clear" w:color="auto" w:fill="FFFFFF"/>
            <w:vAlign w:val="center"/>
          </w:tcPr>
          <w:p w14:paraId="63E199AF" w14:textId="77777777" w:rsidR="00425E57" w:rsidRPr="005E1314" w:rsidRDefault="00425E57" w:rsidP="00E12B44">
            <w:pPr>
              <w:jc w:val="center"/>
            </w:pPr>
            <w:r w:rsidRPr="005E1314">
              <w:rPr>
                <w:lang w:val="en-HK"/>
              </w:rPr>
              <w:t>2883</w:t>
            </w:r>
          </w:p>
        </w:tc>
        <w:tc>
          <w:tcPr>
            <w:tcW w:w="2631" w:type="pct"/>
            <w:shd w:val="clear" w:color="auto" w:fill="FFFFFF"/>
            <w:vAlign w:val="center"/>
          </w:tcPr>
          <w:p w14:paraId="60D1BD9E" w14:textId="77777777" w:rsidR="00425E57" w:rsidRPr="005E1314" w:rsidRDefault="00425E57" w:rsidP="00E12B44">
            <w:pPr>
              <w:rPr>
                <w:lang w:val="en-GB"/>
              </w:rPr>
            </w:pPr>
            <w:r w:rsidRPr="005E1314">
              <w:rPr>
                <w:lang w:val="en-GB"/>
              </w:rPr>
              <w:t>China Oilfield Services Ltd.</w:t>
            </w:r>
          </w:p>
        </w:tc>
        <w:tc>
          <w:tcPr>
            <w:tcW w:w="419" w:type="pct"/>
            <w:shd w:val="clear" w:color="auto" w:fill="FFFFFF"/>
            <w:vAlign w:val="center"/>
          </w:tcPr>
          <w:p w14:paraId="69643794" w14:textId="77777777" w:rsidR="00425E57" w:rsidRPr="005E1314" w:rsidRDefault="00425E57" w:rsidP="00E12B44">
            <w:pPr>
              <w:jc w:val="center"/>
            </w:pPr>
            <w:r w:rsidRPr="005E1314">
              <w:rPr>
                <w:lang w:val="en-HK"/>
              </w:rPr>
              <w:t>CHO</w:t>
            </w:r>
          </w:p>
        </w:tc>
        <w:tc>
          <w:tcPr>
            <w:tcW w:w="564" w:type="pct"/>
            <w:shd w:val="clear" w:color="auto" w:fill="FFFFFF"/>
            <w:vAlign w:val="center"/>
          </w:tcPr>
          <w:p w14:paraId="44B51928" w14:textId="77777777" w:rsidR="00425E57" w:rsidRPr="005E1314" w:rsidRDefault="00425E57" w:rsidP="00E12B44">
            <w:pPr>
              <w:jc w:val="center"/>
            </w:pPr>
            <w:r w:rsidRPr="005E1314">
              <w:rPr>
                <w:lang w:val="en-HK"/>
              </w:rPr>
              <w:t>10,000</w:t>
            </w:r>
          </w:p>
        </w:tc>
        <w:tc>
          <w:tcPr>
            <w:tcW w:w="419" w:type="pct"/>
            <w:shd w:val="clear" w:color="auto" w:fill="FFFFFF"/>
            <w:vAlign w:val="center"/>
          </w:tcPr>
          <w:p w14:paraId="7292FF0D" w14:textId="77777777" w:rsidR="00425E57" w:rsidRPr="005E1314" w:rsidRDefault="00425E57" w:rsidP="00E12B44">
            <w:pPr>
              <w:jc w:val="center"/>
            </w:pPr>
            <w:r w:rsidRPr="005E1314">
              <w:rPr>
                <w:lang w:val="en-HK"/>
              </w:rPr>
              <w:t>5</w:t>
            </w:r>
          </w:p>
        </w:tc>
        <w:tc>
          <w:tcPr>
            <w:tcW w:w="304" w:type="pct"/>
            <w:shd w:val="clear" w:color="auto" w:fill="FFFFFF"/>
          </w:tcPr>
          <w:p w14:paraId="0C4F88AB" w14:textId="77777777" w:rsidR="00425E57" w:rsidRPr="005E1314" w:rsidRDefault="00425E57" w:rsidP="00E12B44">
            <w:pPr>
              <w:jc w:val="center"/>
              <w:rPr>
                <w:lang w:val="en-HK"/>
              </w:rPr>
            </w:pPr>
            <w:r>
              <w:rPr>
                <w:lang w:val="en-HK"/>
              </w:rPr>
              <w:t>1</w:t>
            </w:r>
          </w:p>
        </w:tc>
      </w:tr>
      <w:tr w:rsidR="00425E57" w:rsidRPr="00B71D20" w14:paraId="47976819" w14:textId="77777777" w:rsidTr="0095215C">
        <w:trPr>
          <w:tblCellSpacing w:w="15" w:type="dxa"/>
        </w:trPr>
        <w:tc>
          <w:tcPr>
            <w:tcW w:w="232" w:type="pct"/>
            <w:shd w:val="clear" w:color="auto" w:fill="FFFFFF"/>
            <w:vAlign w:val="center"/>
          </w:tcPr>
          <w:p w14:paraId="00250650" w14:textId="77777777" w:rsidR="00425E57" w:rsidRPr="00B71D20" w:rsidRDefault="00425E57" w:rsidP="00E12B44">
            <w:pPr>
              <w:jc w:val="center"/>
              <w:rPr>
                <w:color w:val="000000"/>
              </w:rPr>
            </w:pPr>
            <w:r>
              <w:rPr>
                <w:color w:val="000000"/>
              </w:rPr>
              <w:t>30</w:t>
            </w:r>
          </w:p>
        </w:tc>
        <w:tc>
          <w:tcPr>
            <w:tcW w:w="310" w:type="pct"/>
            <w:shd w:val="clear" w:color="auto" w:fill="FFFFFF"/>
          </w:tcPr>
          <w:p w14:paraId="276FDD57" w14:textId="77777777" w:rsidR="00425E57" w:rsidRPr="00A01DB7" w:rsidRDefault="00425E57" w:rsidP="00E12B44">
            <w:pPr>
              <w:jc w:val="center"/>
            </w:pPr>
            <w:r w:rsidRPr="00A01DB7">
              <w:rPr>
                <w:rFonts w:eastAsia="Times New Roman"/>
              </w:rPr>
              <w:t>3188</w:t>
            </w:r>
          </w:p>
        </w:tc>
        <w:tc>
          <w:tcPr>
            <w:tcW w:w="2631" w:type="pct"/>
            <w:shd w:val="clear" w:color="auto" w:fill="FFFFFF"/>
          </w:tcPr>
          <w:p w14:paraId="098B27E1" w14:textId="77777777" w:rsidR="00425E57" w:rsidRPr="00E7433F" w:rsidRDefault="00425E57" w:rsidP="00E12B44">
            <w:pPr>
              <w:rPr>
                <w:color w:val="000000" w:themeColor="text1"/>
                <w:lang w:val="en-GB"/>
              </w:rPr>
            </w:pPr>
            <w:r w:rsidRPr="00E7433F">
              <w:rPr>
                <w:rFonts w:eastAsia="Times New Roman"/>
                <w:color w:val="000000" w:themeColor="text1"/>
              </w:rPr>
              <w:t>China AMC CSI 300 index ETF</w:t>
            </w:r>
          </w:p>
        </w:tc>
        <w:tc>
          <w:tcPr>
            <w:tcW w:w="419" w:type="pct"/>
            <w:shd w:val="clear" w:color="auto" w:fill="FFFFFF"/>
          </w:tcPr>
          <w:p w14:paraId="3A85995D" w14:textId="77777777" w:rsidR="00425E57" w:rsidRPr="00E7433F" w:rsidRDefault="00425E57" w:rsidP="00E12B44">
            <w:pPr>
              <w:jc w:val="center"/>
              <w:rPr>
                <w:color w:val="000000" w:themeColor="text1"/>
              </w:rPr>
            </w:pPr>
            <w:r w:rsidRPr="00E7433F">
              <w:rPr>
                <w:rFonts w:eastAsia="Times New Roman"/>
                <w:color w:val="000000" w:themeColor="text1"/>
              </w:rPr>
              <w:t>AMC</w:t>
            </w:r>
          </w:p>
        </w:tc>
        <w:tc>
          <w:tcPr>
            <w:tcW w:w="564" w:type="pct"/>
            <w:shd w:val="clear" w:color="auto" w:fill="FFFFFF"/>
          </w:tcPr>
          <w:p w14:paraId="32594839" w14:textId="77777777" w:rsidR="00425E57" w:rsidRPr="00E7433F" w:rsidRDefault="00425E57" w:rsidP="00E12B44">
            <w:pPr>
              <w:jc w:val="center"/>
              <w:rPr>
                <w:color w:val="000000" w:themeColor="text1"/>
                <w:lang w:val="en-HK"/>
              </w:rPr>
            </w:pPr>
            <w:r w:rsidRPr="00E7433F">
              <w:rPr>
                <w:rFonts w:eastAsia="Times New Roman"/>
                <w:color w:val="000000" w:themeColor="text1"/>
              </w:rPr>
              <w:t>2,000</w:t>
            </w:r>
          </w:p>
        </w:tc>
        <w:tc>
          <w:tcPr>
            <w:tcW w:w="419" w:type="pct"/>
            <w:shd w:val="clear" w:color="auto" w:fill="FFFFFF"/>
          </w:tcPr>
          <w:p w14:paraId="26347878" w14:textId="77777777" w:rsidR="00425E57" w:rsidRPr="00E7433F" w:rsidRDefault="00425E57" w:rsidP="00E12B44">
            <w:pPr>
              <w:jc w:val="center"/>
              <w:rPr>
                <w:color w:val="000000" w:themeColor="text1"/>
                <w:lang w:val="en-HK"/>
              </w:rPr>
            </w:pPr>
            <w:r w:rsidRPr="00E7433F">
              <w:rPr>
                <w:rFonts w:eastAsia="Times New Roman"/>
                <w:color w:val="000000" w:themeColor="text1"/>
              </w:rPr>
              <w:t>10</w:t>
            </w:r>
          </w:p>
        </w:tc>
        <w:tc>
          <w:tcPr>
            <w:tcW w:w="304" w:type="pct"/>
            <w:shd w:val="clear" w:color="auto" w:fill="FFFFFF"/>
          </w:tcPr>
          <w:p w14:paraId="45FE4B31" w14:textId="77777777" w:rsidR="00425E57" w:rsidRPr="00E7433F" w:rsidRDefault="00425E57" w:rsidP="00E12B44">
            <w:pPr>
              <w:jc w:val="center"/>
              <w:rPr>
                <w:rFonts w:eastAsia="Times New Roman"/>
                <w:color w:val="000000" w:themeColor="text1"/>
              </w:rPr>
            </w:pPr>
            <w:r w:rsidRPr="00E7433F">
              <w:rPr>
                <w:rFonts w:eastAsia="Times New Roman"/>
                <w:color w:val="000000" w:themeColor="text1"/>
              </w:rPr>
              <w:t>1</w:t>
            </w:r>
          </w:p>
        </w:tc>
      </w:tr>
      <w:tr w:rsidR="00425E57" w:rsidRPr="00B71D20" w14:paraId="6E0D50F5" w14:textId="77777777" w:rsidTr="0095215C">
        <w:trPr>
          <w:tblCellSpacing w:w="15" w:type="dxa"/>
        </w:trPr>
        <w:tc>
          <w:tcPr>
            <w:tcW w:w="232" w:type="pct"/>
            <w:shd w:val="clear" w:color="auto" w:fill="FFFFFF"/>
            <w:vAlign w:val="center"/>
          </w:tcPr>
          <w:p w14:paraId="168163FF" w14:textId="77777777" w:rsidR="00425E57" w:rsidRPr="00B71D20" w:rsidRDefault="00425E57" w:rsidP="00E12B44">
            <w:pPr>
              <w:jc w:val="center"/>
              <w:rPr>
                <w:color w:val="000000"/>
              </w:rPr>
            </w:pPr>
            <w:r>
              <w:rPr>
                <w:color w:val="000000"/>
              </w:rPr>
              <w:t>31</w:t>
            </w:r>
          </w:p>
        </w:tc>
        <w:tc>
          <w:tcPr>
            <w:tcW w:w="310" w:type="pct"/>
            <w:shd w:val="clear" w:color="auto" w:fill="FFFFFF"/>
            <w:vAlign w:val="center"/>
          </w:tcPr>
          <w:p w14:paraId="7CE5EA1A" w14:textId="77777777" w:rsidR="00425E57" w:rsidRPr="00A01DB7" w:rsidRDefault="00425E57" w:rsidP="00E12B44">
            <w:pPr>
              <w:jc w:val="center"/>
            </w:pPr>
            <w:r w:rsidRPr="00A01DB7">
              <w:t>3333</w:t>
            </w:r>
          </w:p>
        </w:tc>
        <w:tc>
          <w:tcPr>
            <w:tcW w:w="2631" w:type="pct"/>
            <w:shd w:val="clear" w:color="auto" w:fill="FFFFFF"/>
            <w:vAlign w:val="center"/>
          </w:tcPr>
          <w:p w14:paraId="1B52D7B1" w14:textId="77777777" w:rsidR="00425E57" w:rsidRPr="00B71D20" w:rsidRDefault="00425E57" w:rsidP="00E12B44">
            <w:pPr>
              <w:rPr>
                <w:color w:val="000000"/>
                <w:lang w:val="en-GB"/>
              </w:rPr>
            </w:pPr>
            <w:proofErr w:type="spellStart"/>
            <w:r w:rsidRPr="00B71D20">
              <w:rPr>
                <w:color w:val="000000"/>
                <w:lang w:val="en-GB"/>
              </w:rPr>
              <w:t>Ev</w:t>
            </w:r>
            <w:r>
              <w:rPr>
                <w:color w:val="000000"/>
                <w:lang w:val="en-GB"/>
              </w:rPr>
              <w:t>ergrande</w:t>
            </w:r>
            <w:proofErr w:type="spellEnd"/>
            <w:r>
              <w:rPr>
                <w:color w:val="000000"/>
                <w:lang w:val="en-GB"/>
              </w:rPr>
              <w:t xml:space="preserve"> Real Estate Group Ltd.</w:t>
            </w:r>
          </w:p>
        </w:tc>
        <w:tc>
          <w:tcPr>
            <w:tcW w:w="419" w:type="pct"/>
            <w:shd w:val="clear" w:color="auto" w:fill="FFFFFF"/>
            <w:vAlign w:val="center"/>
          </w:tcPr>
          <w:p w14:paraId="54295886" w14:textId="77777777" w:rsidR="00425E57" w:rsidRDefault="00425E57" w:rsidP="00E12B44">
            <w:pPr>
              <w:jc w:val="center"/>
              <w:rPr>
                <w:color w:val="000000"/>
              </w:rPr>
            </w:pPr>
            <w:r w:rsidRPr="00B71D20">
              <w:rPr>
                <w:color w:val="000000"/>
              </w:rPr>
              <w:t>EVG</w:t>
            </w:r>
            <w:r>
              <w:rPr>
                <w:color w:val="000000"/>
              </w:rPr>
              <w:t>/</w:t>
            </w:r>
          </w:p>
          <w:p w14:paraId="5135E17F" w14:textId="7DB94EB4" w:rsidR="00425E57" w:rsidRPr="00B71D20" w:rsidRDefault="00425E57" w:rsidP="00E12B44">
            <w:pPr>
              <w:jc w:val="center"/>
              <w:rPr>
                <w:color w:val="000000"/>
              </w:rPr>
            </w:pPr>
            <w:r>
              <w:rPr>
                <w:color w:val="000000"/>
              </w:rPr>
              <w:t>EVA</w:t>
            </w:r>
            <w:r w:rsidR="00A9377F">
              <w:rPr>
                <w:color w:val="000000"/>
              </w:rPr>
              <w:t>*</w:t>
            </w:r>
          </w:p>
        </w:tc>
        <w:tc>
          <w:tcPr>
            <w:tcW w:w="564" w:type="pct"/>
            <w:shd w:val="clear" w:color="auto" w:fill="FFFFFF"/>
            <w:vAlign w:val="center"/>
          </w:tcPr>
          <w:p w14:paraId="1B18B6A8" w14:textId="77777777" w:rsidR="00425E57" w:rsidRDefault="00425E57" w:rsidP="00E12B44">
            <w:pPr>
              <w:jc w:val="center"/>
              <w:rPr>
                <w:color w:val="000000"/>
                <w:lang w:val="en-HK"/>
              </w:rPr>
            </w:pPr>
            <w:r>
              <w:rPr>
                <w:color w:val="000000"/>
                <w:lang w:val="en-HK"/>
              </w:rPr>
              <w:t>2</w:t>
            </w:r>
            <w:r w:rsidRPr="00B71D20">
              <w:rPr>
                <w:color w:val="000000"/>
                <w:lang w:val="en-HK"/>
              </w:rPr>
              <w:t>,000</w:t>
            </w:r>
            <w:r>
              <w:rPr>
                <w:color w:val="000000"/>
                <w:lang w:val="en-HK"/>
              </w:rPr>
              <w:t>/</w:t>
            </w:r>
          </w:p>
          <w:p w14:paraId="1E2405A1" w14:textId="77777777" w:rsidR="00425E57" w:rsidRPr="00B71D20" w:rsidRDefault="00425E57" w:rsidP="00E12B44">
            <w:pPr>
              <w:jc w:val="center"/>
              <w:rPr>
                <w:color w:val="000000"/>
              </w:rPr>
            </w:pPr>
            <w:r>
              <w:rPr>
                <w:color w:val="000000"/>
                <w:lang w:val="en-HK"/>
              </w:rPr>
              <w:t>20,000</w:t>
            </w:r>
          </w:p>
        </w:tc>
        <w:tc>
          <w:tcPr>
            <w:tcW w:w="419" w:type="pct"/>
            <w:shd w:val="clear" w:color="auto" w:fill="FFFFFF"/>
            <w:vAlign w:val="center"/>
          </w:tcPr>
          <w:p w14:paraId="66F8A69C" w14:textId="77777777" w:rsidR="00425E57" w:rsidRDefault="00425E57" w:rsidP="00E12B44">
            <w:pPr>
              <w:jc w:val="center"/>
              <w:rPr>
                <w:color w:val="000000"/>
                <w:lang w:val="en-HK"/>
              </w:rPr>
            </w:pPr>
            <w:r>
              <w:rPr>
                <w:color w:val="000000"/>
                <w:lang w:val="en-HK"/>
              </w:rPr>
              <w:t>2/</w:t>
            </w:r>
          </w:p>
          <w:p w14:paraId="6C1CA68E" w14:textId="77777777" w:rsidR="00425E57" w:rsidRPr="00B71D20" w:rsidRDefault="00425E57" w:rsidP="00E12B44">
            <w:pPr>
              <w:jc w:val="center"/>
              <w:rPr>
                <w:color w:val="000000"/>
              </w:rPr>
            </w:pPr>
            <w:r>
              <w:rPr>
                <w:color w:val="000000"/>
                <w:lang w:val="en-HK"/>
              </w:rPr>
              <w:t>20</w:t>
            </w:r>
          </w:p>
        </w:tc>
        <w:tc>
          <w:tcPr>
            <w:tcW w:w="304" w:type="pct"/>
            <w:shd w:val="clear" w:color="auto" w:fill="FFFFFF"/>
            <w:vAlign w:val="center"/>
          </w:tcPr>
          <w:p w14:paraId="222E8767" w14:textId="77777777" w:rsidR="00425E57" w:rsidRDefault="00425E57" w:rsidP="00E12B44">
            <w:pPr>
              <w:jc w:val="center"/>
              <w:rPr>
                <w:color w:val="000000"/>
                <w:lang w:val="en-HK"/>
              </w:rPr>
            </w:pPr>
            <w:r>
              <w:rPr>
                <w:color w:val="000000"/>
                <w:lang w:val="en-HK"/>
              </w:rPr>
              <w:t>1</w:t>
            </w:r>
          </w:p>
        </w:tc>
      </w:tr>
      <w:tr w:rsidR="00425E57" w:rsidRPr="00B71D20" w14:paraId="7C7EF2D3" w14:textId="77777777" w:rsidTr="0095215C">
        <w:trPr>
          <w:tblCellSpacing w:w="15" w:type="dxa"/>
        </w:trPr>
        <w:tc>
          <w:tcPr>
            <w:tcW w:w="232" w:type="pct"/>
            <w:shd w:val="clear" w:color="auto" w:fill="FFFFFF"/>
            <w:vAlign w:val="center"/>
          </w:tcPr>
          <w:p w14:paraId="0FE7BF58" w14:textId="77777777" w:rsidR="00425E57" w:rsidRPr="00B71D20" w:rsidRDefault="00425E57" w:rsidP="00E12B44">
            <w:pPr>
              <w:jc w:val="center"/>
              <w:rPr>
                <w:color w:val="000000"/>
              </w:rPr>
            </w:pPr>
            <w:r>
              <w:rPr>
                <w:color w:val="000000"/>
              </w:rPr>
              <w:t>32</w:t>
            </w:r>
          </w:p>
        </w:tc>
        <w:tc>
          <w:tcPr>
            <w:tcW w:w="310" w:type="pct"/>
            <w:shd w:val="clear" w:color="auto" w:fill="FFFFFF"/>
            <w:vAlign w:val="center"/>
          </w:tcPr>
          <w:p w14:paraId="48A43B81" w14:textId="77777777" w:rsidR="00425E57" w:rsidRPr="00A01DB7" w:rsidRDefault="00425E57" w:rsidP="00E12B44">
            <w:pPr>
              <w:jc w:val="center"/>
            </w:pPr>
            <w:r w:rsidRPr="00A01DB7">
              <w:t>6030</w:t>
            </w:r>
          </w:p>
        </w:tc>
        <w:tc>
          <w:tcPr>
            <w:tcW w:w="2631" w:type="pct"/>
            <w:shd w:val="clear" w:color="auto" w:fill="FFFFFF"/>
            <w:vAlign w:val="center"/>
          </w:tcPr>
          <w:p w14:paraId="5F8BA7F7" w14:textId="77777777" w:rsidR="00425E57" w:rsidRPr="00B71D20" w:rsidRDefault="00425E57" w:rsidP="00E12B44">
            <w:pPr>
              <w:rPr>
                <w:color w:val="000000"/>
                <w:lang w:val="en-GB"/>
              </w:rPr>
            </w:pPr>
            <w:r>
              <w:rPr>
                <w:color w:val="000000"/>
                <w:lang w:val="en-GB"/>
              </w:rPr>
              <w:t>CITIC Securities Co. Ltd.</w:t>
            </w:r>
          </w:p>
        </w:tc>
        <w:tc>
          <w:tcPr>
            <w:tcW w:w="419" w:type="pct"/>
            <w:shd w:val="clear" w:color="auto" w:fill="FFFFFF"/>
            <w:vAlign w:val="center"/>
          </w:tcPr>
          <w:p w14:paraId="0BB7A259" w14:textId="77777777" w:rsidR="00425E57" w:rsidRPr="00B71D20" w:rsidRDefault="00425E57" w:rsidP="00E12B44">
            <w:pPr>
              <w:jc w:val="center"/>
              <w:rPr>
                <w:color w:val="000000"/>
              </w:rPr>
            </w:pPr>
            <w:r w:rsidRPr="00B71D20">
              <w:rPr>
                <w:color w:val="000000"/>
              </w:rPr>
              <w:t>CTS</w:t>
            </w:r>
          </w:p>
        </w:tc>
        <w:tc>
          <w:tcPr>
            <w:tcW w:w="564" w:type="pct"/>
            <w:shd w:val="clear" w:color="auto" w:fill="FFFFFF"/>
            <w:vAlign w:val="center"/>
          </w:tcPr>
          <w:p w14:paraId="1EDBEE3A" w14:textId="77777777" w:rsidR="00425E57" w:rsidRPr="00B71D20" w:rsidRDefault="00425E57" w:rsidP="00E12B44">
            <w:pPr>
              <w:jc w:val="center"/>
              <w:rPr>
                <w:color w:val="000000"/>
              </w:rPr>
            </w:pPr>
            <w:r>
              <w:rPr>
                <w:color w:val="000000"/>
                <w:lang w:val="en-HK"/>
              </w:rPr>
              <w:t>1</w:t>
            </w:r>
            <w:r w:rsidRPr="00B71D20">
              <w:rPr>
                <w:color w:val="000000"/>
                <w:lang w:val="en-HK"/>
              </w:rPr>
              <w:t>,000</w:t>
            </w:r>
          </w:p>
        </w:tc>
        <w:tc>
          <w:tcPr>
            <w:tcW w:w="419" w:type="pct"/>
            <w:shd w:val="clear" w:color="auto" w:fill="FFFFFF"/>
            <w:vAlign w:val="center"/>
          </w:tcPr>
          <w:p w14:paraId="764EDBE4" w14:textId="77777777" w:rsidR="00425E57" w:rsidRPr="00B71D20" w:rsidRDefault="00425E57" w:rsidP="00E12B44">
            <w:pPr>
              <w:jc w:val="center"/>
              <w:rPr>
                <w:color w:val="000000"/>
              </w:rPr>
            </w:pPr>
            <w:r>
              <w:rPr>
                <w:color w:val="000000"/>
                <w:lang w:val="en-HK"/>
              </w:rPr>
              <w:t>2</w:t>
            </w:r>
          </w:p>
        </w:tc>
        <w:tc>
          <w:tcPr>
            <w:tcW w:w="304" w:type="pct"/>
            <w:shd w:val="clear" w:color="auto" w:fill="FFFFFF"/>
          </w:tcPr>
          <w:p w14:paraId="4A56BC34" w14:textId="77777777" w:rsidR="00425E57" w:rsidRDefault="00425E57" w:rsidP="00E12B44">
            <w:pPr>
              <w:jc w:val="center"/>
              <w:rPr>
                <w:color w:val="000000"/>
                <w:lang w:val="en-HK"/>
              </w:rPr>
            </w:pPr>
            <w:r>
              <w:rPr>
                <w:color w:val="000000"/>
                <w:lang w:val="en-HK"/>
              </w:rPr>
              <w:t>2</w:t>
            </w:r>
          </w:p>
        </w:tc>
      </w:tr>
      <w:tr w:rsidR="00425E57" w:rsidRPr="00B71D20" w14:paraId="58766493" w14:textId="77777777" w:rsidTr="0095215C">
        <w:trPr>
          <w:tblCellSpacing w:w="15" w:type="dxa"/>
        </w:trPr>
        <w:tc>
          <w:tcPr>
            <w:tcW w:w="232" w:type="pct"/>
            <w:shd w:val="clear" w:color="auto" w:fill="FFFFFF"/>
            <w:vAlign w:val="center"/>
          </w:tcPr>
          <w:p w14:paraId="2D3683FC" w14:textId="77777777" w:rsidR="00425E57" w:rsidRPr="00B71D20" w:rsidRDefault="00425E57" w:rsidP="00E12B44">
            <w:pPr>
              <w:jc w:val="center"/>
              <w:rPr>
                <w:color w:val="000000"/>
              </w:rPr>
            </w:pPr>
            <w:r>
              <w:rPr>
                <w:color w:val="000000"/>
              </w:rPr>
              <w:t>33</w:t>
            </w:r>
          </w:p>
        </w:tc>
        <w:tc>
          <w:tcPr>
            <w:tcW w:w="310" w:type="pct"/>
            <w:shd w:val="clear" w:color="auto" w:fill="FFFFFF"/>
            <w:vAlign w:val="center"/>
          </w:tcPr>
          <w:p w14:paraId="1F7233A4" w14:textId="77777777" w:rsidR="00425E57" w:rsidRPr="00B71D20" w:rsidRDefault="00425E57" w:rsidP="00E12B44">
            <w:pPr>
              <w:jc w:val="center"/>
              <w:rPr>
                <w:color w:val="000000"/>
              </w:rPr>
            </w:pPr>
            <w:r w:rsidRPr="00B71D20">
              <w:rPr>
                <w:color w:val="000000"/>
              </w:rPr>
              <w:t>6837</w:t>
            </w:r>
          </w:p>
        </w:tc>
        <w:tc>
          <w:tcPr>
            <w:tcW w:w="2631" w:type="pct"/>
            <w:shd w:val="clear" w:color="auto" w:fill="FFFFFF"/>
            <w:vAlign w:val="center"/>
          </w:tcPr>
          <w:p w14:paraId="7B33CCED" w14:textId="77777777" w:rsidR="00425E57" w:rsidRPr="00B71D20" w:rsidRDefault="00425E57" w:rsidP="00E12B44">
            <w:pPr>
              <w:rPr>
                <w:color w:val="000000"/>
                <w:lang w:val="en-GB"/>
              </w:rPr>
            </w:pPr>
            <w:proofErr w:type="spellStart"/>
            <w:r w:rsidRPr="00B71D20">
              <w:rPr>
                <w:color w:val="000000"/>
                <w:lang w:val="en-GB"/>
              </w:rPr>
              <w:t>Haitong</w:t>
            </w:r>
            <w:proofErr w:type="spellEnd"/>
            <w:r w:rsidRPr="00B71D20">
              <w:rPr>
                <w:color w:val="000000"/>
                <w:lang w:val="en-GB"/>
              </w:rPr>
              <w:t xml:space="preserve"> </w:t>
            </w:r>
            <w:r>
              <w:rPr>
                <w:color w:val="000000"/>
                <w:lang w:val="en-GB"/>
              </w:rPr>
              <w:t>Securities Co. Ltd.</w:t>
            </w:r>
          </w:p>
        </w:tc>
        <w:tc>
          <w:tcPr>
            <w:tcW w:w="419" w:type="pct"/>
            <w:shd w:val="clear" w:color="auto" w:fill="FFFFFF"/>
            <w:vAlign w:val="center"/>
          </w:tcPr>
          <w:p w14:paraId="0D49A2B3" w14:textId="77777777" w:rsidR="00425E57" w:rsidRPr="00B71D20" w:rsidRDefault="00425E57" w:rsidP="00E12B44">
            <w:pPr>
              <w:jc w:val="center"/>
              <w:rPr>
                <w:color w:val="000000"/>
              </w:rPr>
            </w:pPr>
            <w:r w:rsidRPr="00B71D20">
              <w:rPr>
                <w:color w:val="000000"/>
              </w:rPr>
              <w:t>HAI</w:t>
            </w:r>
          </w:p>
        </w:tc>
        <w:tc>
          <w:tcPr>
            <w:tcW w:w="564" w:type="pct"/>
            <w:shd w:val="clear" w:color="auto" w:fill="FFFFFF"/>
            <w:vAlign w:val="center"/>
          </w:tcPr>
          <w:p w14:paraId="5CF37794"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033F5EB5" w14:textId="77777777" w:rsidR="00425E57" w:rsidRPr="00B71D20" w:rsidRDefault="00425E57" w:rsidP="00E12B44">
            <w:pPr>
              <w:jc w:val="center"/>
              <w:rPr>
                <w:color w:val="000000"/>
              </w:rPr>
            </w:pPr>
            <w:r w:rsidRPr="00B71D20">
              <w:rPr>
                <w:color w:val="000000"/>
                <w:lang w:val="en-HK"/>
              </w:rPr>
              <w:t>25</w:t>
            </w:r>
          </w:p>
        </w:tc>
        <w:tc>
          <w:tcPr>
            <w:tcW w:w="304" w:type="pct"/>
            <w:shd w:val="clear" w:color="auto" w:fill="FFFFFF"/>
          </w:tcPr>
          <w:p w14:paraId="3120F57C" w14:textId="77777777" w:rsidR="00425E57" w:rsidRPr="00B71D20" w:rsidRDefault="00425E57" w:rsidP="00E12B44">
            <w:pPr>
              <w:jc w:val="center"/>
              <w:rPr>
                <w:color w:val="000000"/>
                <w:lang w:val="en-HK"/>
              </w:rPr>
            </w:pPr>
            <w:r>
              <w:rPr>
                <w:color w:val="000000"/>
                <w:lang w:val="en-HK"/>
              </w:rPr>
              <w:t>1</w:t>
            </w:r>
          </w:p>
        </w:tc>
      </w:tr>
      <w:tr w:rsidR="00425E57" w:rsidRPr="00B71D20" w14:paraId="06DA7E1C" w14:textId="77777777" w:rsidTr="0095215C">
        <w:trPr>
          <w:tblCellSpacing w:w="15" w:type="dxa"/>
        </w:trPr>
        <w:tc>
          <w:tcPr>
            <w:tcW w:w="232" w:type="pct"/>
            <w:shd w:val="clear" w:color="auto" w:fill="FFFFFF"/>
            <w:vAlign w:val="center"/>
          </w:tcPr>
          <w:p w14:paraId="50FD33AB" w14:textId="77777777" w:rsidR="00425E57" w:rsidRPr="00B71D20" w:rsidRDefault="00425E57" w:rsidP="00E12B44">
            <w:pPr>
              <w:jc w:val="center"/>
              <w:rPr>
                <w:color w:val="000000"/>
              </w:rPr>
            </w:pPr>
            <w:r>
              <w:rPr>
                <w:color w:val="000000"/>
              </w:rPr>
              <w:t>34</w:t>
            </w:r>
          </w:p>
        </w:tc>
        <w:tc>
          <w:tcPr>
            <w:tcW w:w="310" w:type="pct"/>
            <w:shd w:val="clear" w:color="auto" w:fill="FFFFFF"/>
            <w:vAlign w:val="center"/>
          </w:tcPr>
          <w:p w14:paraId="1CB3FFEA" w14:textId="77777777" w:rsidR="00425E57" w:rsidRPr="00B71D20" w:rsidRDefault="00425E57" w:rsidP="00E12B44">
            <w:pPr>
              <w:jc w:val="center"/>
              <w:rPr>
                <w:color w:val="000000"/>
              </w:rPr>
            </w:pPr>
            <w:r w:rsidRPr="00B71D20">
              <w:rPr>
                <w:color w:val="000000"/>
                <w:lang w:val="en-HK"/>
              </w:rPr>
              <w:t>6886</w:t>
            </w:r>
          </w:p>
        </w:tc>
        <w:tc>
          <w:tcPr>
            <w:tcW w:w="2631" w:type="pct"/>
            <w:shd w:val="clear" w:color="auto" w:fill="FFFFFF"/>
            <w:vAlign w:val="center"/>
          </w:tcPr>
          <w:p w14:paraId="406D70DA" w14:textId="77777777" w:rsidR="00425E57" w:rsidRPr="00B71D20" w:rsidRDefault="00425E57" w:rsidP="00E12B44">
            <w:pPr>
              <w:rPr>
                <w:color w:val="000000"/>
                <w:lang w:val="en-GB"/>
              </w:rPr>
            </w:pPr>
            <w:proofErr w:type="spellStart"/>
            <w:r>
              <w:rPr>
                <w:color w:val="000000"/>
                <w:lang w:val="en-GB"/>
              </w:rPr>
              <w:t>Huatai</w:t>
            </w:r>
            <w:proofErr w:type="spellEnd"/>
            <w:r>
              <w:rPr>
                <w:color w:val="000000"/>
                <w:lang w:val="en-GB"/>
              </w:rPr>
              <w:t xml:space="preserve"> Securities Co., Ltd.</w:t>
            </w:r>
          </w:p>
        </w:tc>
        <w:tc>
          <w:tcPr>
            <w:tcW w:w="419" w:type="pct"/>
            <w:shd w:val="clear" w:color="auto" w:fill="FFFFFF"/>
            <w:vAlign w:val="center"/>
          </w:tcPr>
          <w:p w14:paraId="418F218E" w14:textId="77777777" w:rsidR="00425E57" w:rsidRPr="00B71D20" w:rsidRDefault="00425E57" w:rsidP="00E12B44">
            <w:pPr>
              <w:jc w:val="center"/>
              <w:rPr>
                <w:color w:val="000000"/>
              </w:rPr>
            </w:pPr>
            <w:r w:rsidRPr="00B71D20">
              <w:rPr>
                <w:color w:val="000000"/>
                <w:lang w:val="en-HK"/>
              </w:rPr>
              <w:t>HTS</w:t>
            </w:r>
          </w:p>
        </w:tc>
        <w:tc>
          <w:tcPr>
            <w:tcW w:w="564" w:type="pct"/>
            <w:shd w:val="clear" w:color="auto" w:fill="FFFFFF"/>
            <w:vAlign w:val="center"/>
          </w:tcPr>
          <w:p w14:paraId="2B070D91" w14:textId="77777777" w:rsidR="00425E57" w:rsidRPr="00B71D20" w:rsidRDefault="00425E57" w:rsidP="00E12B44">
            <w:pPr>
              <w:jc w:val="center"/>
              <w:rPr>
                <w:color w:val="000000"/>
              </w:rPr>
            </w:pPr>
            <w:r w:rsidRPr="00B71D20">
              <w:rPr>
                <w:color w:val="000000"/>
                <w:lang w:val="en-HK"/>
              </w:rPr>
              <w:t>10,000</w:t>
            </w:r>
          </w:p>
        </w:tc>
        <w:tc>
          <w:tcPr>
            <w:tcW w:w="419" w:type="pct"/>
            <w:shd w:val="clear" w:color="auto" w:fill="FFFFFF"/>
            <w:vAlign w:val="center"/>
          </w:tcPr>
          <w:p w14:paraId="48A04A5E" w14:textId="77777777" w:rsidR="00425E57" w:rsidRPr="00B71D20" w:rsidRDefault="00425E57" w:rsidP="00E12B44">
            <w:pPr>
              <w:jc w:val="center"/>
              <w:rPr>
                <w:color w:val="000000"/>
              </w:rPr>
            </w:pPr>
            <w:r w:rsidRPr="00B71D20">
              <w:rPr>
                <w:color w:val="000000"/>
                <w:lang w:val="en-HK"/>
              </w:rPr>
              <w:t>50</w:t>
            </w:r>
          </w:p>
        </w:tc>
        <w:tc>
          <w:tcPr>
            <w:tcW w:w="304" w:type="pct"/>
            <w:shd w:val="clear" w:color="auto" w:fill="FFFFFF"/>
          </w:tcPr>
          <w:p w14:paraId="4851D80E" w14:textId="77777777" w:rsidR="00425E57" w:rsidRPr="00B71D20" w:rsidRDefault="00425E57" w:rsidP="00E12B44">
            <w:pPr>
              <w:jc w:val="center"/>
              <w:rPr>
                <w:color w:val="000000"/>
                <w:lang w:val="en-HK"/>
              </w:rPr>
            </w:pPr>
            <w:r>
              <w:rPr>
                <w:color w:val="000000"/>
                <w:lang w:val="en-HK"/>
              </w:rPr>
              <w:t>1</w:t>
            </w:r>
          </w:p>
        </w:tc>
      </w:tr>
    </w:tbl>
    <w:p w14:paraId="0724B6AA" w14:textId="77777777" w:rsidR="00425E57" w:rsidRPr="00B71D20" w:rsidRDefault="00425E57" w:rsidP="00425E57">
      <w:pPr>
        <w:pStyle w:val="Default"/>
        <w:rPr>
          <w:sz w:val="20"/>
          <w:szCs w:val="20"/>
        </w:rPr>
      </w:pPr>
    </w:p>
    <w:p w14:paraId="26805DF8" w14:textId="77777777" w:rsidR="00425E57" w:rsidRPr="00BB5538" w:rsidRDefault="00425E57" w:rsidP="00425E57">
      <w:pPr>
        <w:pStyle w:val="Default"/>
        <w:rPr>
          <w:b/>
          <w:sz w:val="20"/>
          <w:szCs w:val="20"/>
        </w:rPr>
      </w:pPr>
      <w:r w:rsidRPr="00BB5538">
        <w:rPr>
          <w:b/>
          <w:bCs/>
          <w:sz w:val="20"/>
          <w:szCs w:val="20"/>
        </w:rPr>
        <w:t xml:space="preserve">b) Stock </w:t>
      </w:r>
      <w:r>
        <w:rPr>
          <w:b/>
          <w:bCs/>
          <w:sz w:val="20"/>
          <w:szCs w:val="20"/>
        </w:rPr>
        <w:t>f</w:t>
      </w:r>
      <w:r w:rsidRPr="00BB5538">
        <w:rPr>
          <w:b/>
          <w:bCs/>
          <w:sz w:val="20"/>
          <w:szCs w:val="20"/>
        </w:rPr>
        <w:t xml:space="preserve">utures with </w:t>
      </w:r>
      <w:r>
        <w:rPr>
          <w:b/>
          <w:bCs/>
          <w:sz w:val="20"/>
          <w:szCs w:val="20"/>
        </w:rPr>
        <w:t>c</w:t>
      </w:r>
      <w:r w:rsidRPr="00BB5538">
        <w:rPr>
          <w:b/>
          <w:bCs/>
          <w:sz w:val="20"/>
          <w:szCs w:val="20"/>
        </w:rPr>
        <w:t xml:space="preserve">ontract </w:t>
      </w:r>
      <w:r>
        <w:rPr>
          <w:b/>
          <w:bCs/>
          <w:sz w:val="20"/>
          <w:szCs w:val="20"/>
        </w:rPr>
        <w:t>s</w:t>
      </w:r>
      <w:r w:rsidRPr="00BB5538">
        <w:rPr>
          <w:b/>
          <w:bCs/>
          <w:sz w:val="20"/>
          <w:szCs w:val="20"/>
        </w:rPr>
        <w:t xml:space="preserve">ize </w:t>
      </w:r>
      <w:r>
        <w:rPr>
          <w:b/>
          <w:bCs/>
          <w:sz w:val="20"/>
          <w:szCs w:val="20"/>
        </w:rPr>
        <w:t>e</w:t>
      </w:r>
      <w:r w:rsidRPr="00BB5538">
        <w:rPr>
          <w:b/>
          <w:bCs/>
          <w:sz w:val="20"/>
          <w:szCs w:val="20"/>
        </w:rPr>
        <w:t xml:space="preserve">qual to </w:t>
      </w:r>
      <w:r>
        <w:rPr>
          <w:b/>
          <w:bCs/>
          <w:sz w:val="20"/>
          <w:szCs w:val="20"/>
        </w:rPr>
        <w:t>o</w:t>
      </w:r>
      <w:r w:rsidRPr="00BB5538">
        <w:rPr>
          <w:b/>
          <w:bCs/>
          <w:sz w:val="20"/>
          <w:szCs w:val="20"/>
        </w:rPr>
        <w:t xml:space="preserve">ne </w:t>
      </w:r>
      <w:r>
        <w:rPr>
          <w:b/>
          <w:bCs/>
          <w:sz w:val="20"/>
          <w:szCs w:val="20"/>
        </w:rPr>
        <w:t>u</w:t>
      </w:r>
      <w:r w:rsidRPr="00BB5538">
        <w:rPr>
          <w:b/>
          <w:bCs/>
          <w:sz w:val="20"/>
          <w:szCs w:val="20"/>
        </w:rPr>
        <w:t xml:space="preserve">nderlying </w:t>
      </w:r>
      <w:r>
        <w:rPr>
          <w:b/>
          <w:bCs/>
          <w:sz w:val="20"/>
          <w:szCs w:val="20"/>
        </w:rPr>
        <w:t>b</w:t>
      </w:r>
      <w:r w:rsidRPr="00BB5538">
        <w:rPr>
          <w:b/>
          <w:bCs/>
          <w:sz w:val="20"/>
          <w:szCs w:val="20"/>
        </w:rPr>
        <w:t xml:space="preserve">oard </w:t>
      </w:r>
      <w:r>
        <w:rPr>
          <w:b/>
          <w:bCs/>
          <w:sz w:val="20"/>
          <w:szCs w:val="20"/>
        </w:rPr>
        <w:t>l</w:t>
      </w:r>
      <w:r w:rsidRPr="00BB5538">
        <w:rPr>
          <w:b/>
          <w:bCs/>
          <w:sz w:val="20"/>
          <w:szCs w:val="20"/>
        </w:rPr>
        <w:t xml:space="preserve">ot </w:t>
      </w:r>
      <w:r>
        <w:rPr>
          <w:b/>
          <w:bCs/>
          <w:sz w:val="20"/>
          <w:szCs w:val="20"/>
        </w:rPr>
        <w:t>s</w:t>
      </w:r>
      <w:r w:rsidRPr="00BB5538">
        <w:rPr>
          <w:b/>
          <w:bCs/>
          <w:sz w:val="20"/>
          <w:szCs w:val="20"/>
        </w:rPr>
        <w:t xml:space="preserve">hares </w:t>
      </w:r>
    </w:p>
    <w:tbl>
      <w:tblPr>
        <w:tblW w:w="5000" w:type="pct"/>
        <w:tblCellSpacing w:w="15" w:type="dxa"/>
        <w:tblBorders>
          <w:top w:val="single" w:sz="6" w:space="0" w:color="E2E2E2"/>
          <w:left w:val="single" w:sz="6" w:space="0" w:color="E2E2E2"/>
          <w:bottom w:val="single" w:sz="6" w:space="0" w:color="E2E2E2"/>
          <w:right w:val="single" w:sz="6" w:space="0" w:color="E2E2E2"/>
        </w:tblBorders>
        <w:shd w:val="clear" w:color="auto" w:fill="CCCCCC"/>
        <w:tblCellMar>
          <w:top w:w="30" w:type="dxa"/>
          <w:left w:w="30" w:type="dxa"/>
          <w:bottom w:w="30" w:type="dxa"/>
          <w:right w:w="30" w:type="dxa"/>
        </w:tblCellMar>
        <w:tblLook w:val="04A0" w:firstRow="1" w:lastRow="0" w:firstColumn="1" w:lastColumn="0" w:noHBand="0" w:noVBand="1"/>
      </w:tblPr>
      <w:tblGrid>
        <w:gridCol w:w="667"/>
        <w:gridCol w:w="635"/>
        <w:gridCol w:w="5808"/>
        <w:gridCol w:w="1043"/>
        <w:gridCol w:w="991"/>
        <w:gridCol w:w="638"/>
      </w:tblGrid>
      <w:tr w:rsidR="00425E57" w:rsidRPr="00B71D20" w14:paraId="20FCBC1B" w14:textId="77777777" w:rsidTr="008B562D">
        <w:trPr>
          <w:tblHeader/>
          <w:tblCellSpacing w:w="15" w:type="dxa"/>
        </w:trPr>
        <w:tc>
          <w:tcPr>
            <w:tcW w:w="318" w:type="pct"/>
            <w:shd w:val="clear" w:color="auto" w:fill="DAEEF3" w:themeFill="accent5" w:themeFillTint="33"/>
            <w:hideMark/>
          </w:tcPr>
          <w:p w14:paraId="25A1AE24" w14:textId="77777777" w:rsidR="00425E57" w:rsidRPr="00B71D20" w:rsidRDefault="00425E57" w:rsidP="00E12B44">
            <w:pPr>
              <w:rPr>
                <w:rFonts w:eastAsia="Times New Roman"/>
                <w:color w:val="000000" w:themeColor="text1"/>
              </w:rPr>
            </w:pPr>
            <w:r w:rsidRPr="00B71D20">
              <w:rPr>
                <w:rFonts w:eastAsia="Times New Roman"/>
                <w:color w:val="000000" w:themeColor="text1"/>
              </w:rPr>
              <w:t>No.</w:t>
            </w:r>
          </w:p>
        </w:tc>
        <w:tc>
          <w:tcPr>
            <w:tcW w:w="309" w:type="pct"/>
            <w:shd w:val="clear" w:color="auto" w:fill="DAEEF3" w:themeFill="accent5" w:themeFillTint="33"/>
            <w:hideMark/>
          </w:tcPr>
          <w:p w14:paraId="46A253A6" w14:textId="77777777" w:rsidR="00425E57" w:rsidRPr="00B71D20" w:rsidRDefault="00425E57" w:rsidP="00E12B44">
            <w:pPr>
              <w:rPr>
                <w:rFonts w:eastAsia="Times New Roman"/>
                <w:color w:val="000000" w:themeColor="text1"/>
              </w:rPr>
            </w:pPr>
            <w:r w:rsidRPr="00B71D20">
              <w:rPr>
                <w:rFonts w:eastAsia="Times New Roman"/>
                <w:color w:val="000000" w:themeColor="text1"/>
              </w:rPr>
              <w:t>SEHK</w:t>
            </w:r>
            <w:r w:rsidRPr="00B71D20">
              <w:rPr>
                <w:rFonts w:eastAsia="Times New Roman"/>
                <w:color w:val="000000" w:themeColor="text1"/>
              </w:rPr>
              <w:br/>
              <w:t>Code</w:t>
            </w:r>
          </w:p>
        </w:tc>
        <w:tc>
          <w:tcPr>
            <w:tcW w:w="2953" w:type="pct"/>
            <w:shd w:val="clear" w:color="auto" w:fill="DAEEF3" w:themeFill="accent5" w:themeFillTint="33"/>
            <w:hideMark/>
          </w:tcPr>
          <w:p w14:paraId="5C6FE676" w14:textId="77777777" w:rsidR="00425E57" w:rsidRPr="00B71D20" w:rsidRDefault="00425E57" w:rsidP="00E12B44">
            <w:pPr>
              <w:rPr>
                <w:rFonts w:eastAsia="Times New Roman"/>
                <w:color w:val="000000" w:themeColor="text1"/>
              </w:rPr>
            </w:pPr>
            <w:r w:rsidRPr="00B71D20">
              <w:rPr>
                <w:rFonts w:eastAsia="Times New Roman"/>
                <w:color w:val="000000" w:themeColor="text1"/>
              </w:rPr>
              <w:t>Underlying Stocks</w:t>
            </w:r>
          </w:p>
        </w:tc>
        <w:tc>
          <w:tcPr>
            <w:tcW w:w="518" w:type="pct"/>
            <w:shd w:val="clear" w:color="auto" w:fill="DAEEF3" w:themeFill="accent5" w:themeFillTint="33"/>
            <w:hideMark/>
          </w:tcPr>
          <w:p w14:paraId="4BE930E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HKATS</w:t>
            </w:r>
            <w:r w:rsidRPr="00B71D20">
              <w:rPr>
                <w:rFonts w:eastAsia="Times New Roman"/>
                <w:color w:val="000000" w:themeColor="text1"/>
              </w:rPr>
              <w:br/>
              <w:t> Code</w:t>
            </w:r>
          </w:p>
        </w:tc>
        <w:tc>
          <w:tcPr>
            <w:tcW w:w="491" w:type="pct"/>
            <w:shd w:val="clear" w:color="auto" w:fill="DAEEF3" w:themeFill="accent5" w:themeFillTint="33"/>
            <w:hideMark/>
          </w:tcPr>
          <w:p w14:paraId="4C07022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Contract</w:t>
            </w:r>
            <w:r>
              <w:rPr>
                <w:rFonts w:eastAsia="Times New Roman"/>
                <w:color w:val="000000" w:themeColor="text1"/>
              </w:rPr>
              <w:t xml:space="preserve"> </w:t>
            </w:r>
            <w:r w:rsidRPr="00B71D20">
              <w:rPr>
                <w:rFonts w:eastAsia="Times New Roman"/>
                <w:color w:val="000000" w:themeColor="text1"/>
              </w:rPr>
              <w:t>Multiplier</w:t>
            </w:r>
            <w:r w:rsidRPr="00B71D20">
              <w:rPr>
                <w:rFonts w:eastAsia="Times New Roman"/>
                <w:color w:val="000000" w:themeColor="text1"/>
              </w:rPr>
              <w:br/>
              <w:t>(shares)</w:t>
            </w:r>
          </w:p>
        </w:tc>
        <w:tc>
          <w:tcPr>
            <w:tcW w:w="303" w:type="pct"/>
            <w:shd w:val="clear" w:color="auto" w:fill="DAEEF3" w:themeFill="accent5" w:themeFillTint="33"/>
          </w:tcPr>
          <w:p w14:paraId="43EAC7B8" w14:textId="77777777" w:rsidR="00425E57" w:rsidRPr="00B71D20" w:rsidRDefault="00425E57" w:rsidP="00E12B44">
            <w:pPr>
              <w:jc w:val="center"/>
              <w:rPr>
                <w:rFonts w:eastAsia="Times New Roman"/>
                <w:color w:val="000000" w:themeColor="text1"/>
              </w:rPr>
            </w:pPr>
            <w:r>
              <w:rPr>
                <w:rFonts w:eastAsia="Times New Roman"/>
                <w:color w:val="000000" w:themeColor="text1"/>
              </w:rPr>
              <w:t>Tier No.</w:t>
            </w:r>
          </w:p>
        </w:tc>
      </w:tr>
      <w:tr w:rsidR="00425E57" w:rsidRPr="00B71D20" w14:paraId="3679FA2C" w14:textId="77777777" w:rsidTr="008B562D">
        <w:trPr>
          <w:tblCellSpacing w:w="15" w:type="dxa"/>
        </w:trPr>
        <w:tc>
          <w:tcPr>
            <w:tcW w:w="318" w:type="pct"/>
            <w:shd w:val="clear" w:color="auto" w:fill="FFFFFF"/>
            <w:vAlign w:val="center"/>
            <w:hideMark/>
          </w:tcPr>
          <w:p w14:paraId="1AC91E9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w:t>
            </w:r>
          </w:p>
        </w:tc>
        <w:tc>
          <w:tcPr>
            <w:tcW w:w="309" w:type="pct"/>
            <w:shd w:val="clear" w:color="auto" w:fill="FFFFFF"/>
            <w:vAlign w:val="center"/>
            <w:hideMark/>
          </w:tcPr>
          <w:p w14:paraId="30A85FD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w:t>
            </w:r>
          </w:p>
        </w:tc>
        <w:tc>
          <w:tcPr>
            <w:tcW w:w="2953" w:type="pct"/>
            <w:shd w:val="clear" w:color="auto" w:fill="FFFFFF"/>
            <w:vAlign w:val="center"/>
            <w:hideMark/>
          </w:tcPr>
          <w:p w14:paraId="467105FB"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CK Hutchison Holdings L</w:t>
            </w:r>
            <w:r>
              <w:rPr>
                <w:rFonts w:eastAsia="Times New Roman"/>
                <w:color w:val="000000" w:themeColor="text1"/>
              </w:rPr>
              <w:t>td.</w:t>
            </w:r>
          </w:p>
        </w:tc>
        <w:tc>
          <w:tcPr>
            <w:tcW w:w="518" w:type="pct"/>
            <w:shd w:val="clear" w:color="auto" w:fill="FFFFFF"/>
            <w:hideMark/>
          </w:tcPr>
          <w:p w14:paraId="78FF505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CKH</w:t>
            </w:r>
          </w:p>
        </w:tc>
        <w:tc>
          <w:tcPr>
            <w:tcW w:w="491" w:type="pct"/>
            <w:shd w:val="clear" w:color="auto" w:fill="FFFFFF"/>
            <w:hideMark/>
          </w:tcPr>
          <w:p w14:paraId="75B9F17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79727185"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2B6FBDED" w14:textId="77777777" w:rsidTr="008B562D">
        <w:trPr>
          <w:tblCellSpacing w:w="15" w:type="dxa"/>
        </w:trPr>
        <w:tc>
          <w:tcPr>
            <w:tcW w:w="318" w:type="pct"/>
            <w:shd w:val="clear" w:color="auto" w:fill="FFFFFF"/>
            <w:vAlign w:val="center"/>
            <w:hideMark/>
          </w:tcPr>
          <w:p w14:paraId="007F316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p>
        </w:tc>
        <w:tc>
          <w:tcPr>
            <w:tcW w:w="309" w:type="pct"/>
            <w:shd w:val="clear" w:color="auto" w:fill="FFFFFF"/>
            <w:vAlign w:val="center"/>
            <w:hideMark/>
          </w:tcPr>
          <w:p w14:paraId="2A96A72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p>
        </w:tc>
        <w:tc>
          <w:tcPr>
            <w:tcW w:w="2953" w:type="pct"/>
            <w:shd w:val="clear" w:color="auto" w:fill="FFFFFF"/>
            <w:vAlign w:val="center"/>
            <w:hideMark/>
          </w:tcPr>
          <w:p w14:paraId="7096D370"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CLP Holdings L</w:t>
            </w:r>
            <w:r>
              <w:rPr>
                <w:rFonts w:eastAsia="Times New Roman"/>
                <w:color w:val="000000" w:themeColor="text1"/>
              </w:rPr>
              <w:t>td.</w:t>
            </w:r>
          </w:p>
        </w:tc>
        <w:tc>
          <w:tcPr>
            <w:tcW w:w="518" w:type="pct"/>
            <w:shd w:val="clear" w:color="auto" w:fill="FFFFFF"/>
            <w:hideMark/>
          </w:tcPr>
          <w:p w14:paraId="653A6057"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CLP</w:t>
            </w:r>
          </w:p>
        </w:tc>
        <w:tc>
          <w:tcPr>
            <w:tcW w:w="491" w:type="pct"/>
            <w:shd w:val="clear" w:color="auto" w:fill="FFFFFF"/>
            <w:hideMark/>
          </w:tcPr>
          <w:p w14:paraId="0B8EDA6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025C5684"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23A21919" w14:textId="77777777" w:rsidTr="003B16DB">
        <w:trPr>
          <w:tblCellSpacing w:w="15" w:type="dxa"/>
        </w:trPr>
        <w:tc>
          <w:tcPr>
            <w:tcW w:w="318" w:type="pct"/>
            <w:shd w:val="clear" w:color="auto" w:fill="FFFFFF"/>
            <w:vAlign w:val="center"/>
            <w:hideMark/>
          </w:tcPr>
          <w:p w14:paraId="78D5FAD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p>
        </w:tc>
        <w:tc>
          <w:tcPr>
            <w:tcW w:w="309" w:type="pct"/>
            <w:shd w:val="clear" w:color="auto" w:fill="FFFFFF"/>
            <w:vAlign w:val="center"/>
            <w:hideMark/>
          </w:tcPr>
          <w:p w14:paraId="440642A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p>
        </w:tc>
        <w:tc>
          <w:tcPr>
            <w:tcW w:w="2953" w:type="pct"/>
            <w:shd w:val="clear" w:color="auto" w:fill="FFFFFF"/>
            <w:vAlign w:val="center"/>
            <w:hideMark/>
          </w:tcPr>
          <w:p w14:paraId="3F390F36"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The Hong Kong and China Gas Company L</w:t>
            </w:r>
            <w:r>
              <w:rPr>
                <w:rFonts w:eastAsia="Times New Roman"/>
                <w:color w:val="000000" w:themeColor="text1"/>
              </w:rPr>
              <w:t>td.</w:t>
            </w:r>
          </w:p>
        </w:tc>
        <w:tc>
          <w:tcPr>
            <w:tcW w:w="518" w:type="pct"/>
            <w:shd w:val="clear" w:color="auto" w:fill="FFFFFF"/>
            <w:hideMark/>
          </w:tcPr>
          <w:p w14:paraId="299A014B" w14:textId="77777777" w:rsidR="00425E57" w:rsidRDefault="00425E57" w:rsidP="00E12B44">
            <w:pPr>
              <w:jc w:val="center"/>
              <w:rPr>
                <w:rFonts w:eastAsia="Times New Roman"/>
                <w:color w:val="000000" w:themeColor="text1"/>
              </w:rPr>
            </w:pPr>
            <w:r w:rsidRPr="00B71D20">
              <w:rPr>
                <w:rFonts w:eastAsia="Times New Roman"/>
                <w:color w:val="000000" w:themeColor="text1"/>
              </w:rPr>
              <w:t>HKG</w:t>
            </w:r>
            <w:r w:rsidR="003B16DB">
              <w:rPr>
                <w:rFonts w:eastAsia="Times New Roman"/>
                <w:color w:val="000000" w:themeColor="text1"/>
              </w:rPr>
              <w:t>/</w:t>
            </w:r>
          </w:p>
          <w:p w14:paraId="0B096A14" w14:textId="64925D1C" w:rsidR="003B16DB" w:rsidRPr="00B71D20" w:rsidRDefault="003B16DB" w:rsidP="00E12B44">
            <w:pPr>
              <w:jc w:val="center"/>
              <w:rPr>
                <w:rFonts w:eastAsia="Times New Roman"/>
                <w:color w:val="000000" w:themeColor="text1"/>
              </w:rPr>
            </w:pPr>
            <w:r>
              <w:rPr>
                <w:rFonts w:eastAsia="Times New Roman"/>
                <w:color w:val="000000" w:themeColor="text1"/>
              </w:rPr>
              <w:t>HKA*</w:t>
            </w:r>
          </w:p>
        </w:tc>
        <w:tc>
          <w:tcPr>
            <w:tcW w:w="491" w:type="pct"/>
            <w:shd w:val="clear" w:color="auto" w:fill="FFFFFF"/>
            <w:hideMark/>
          </w:tcPr>
          <w:p w14:paraId="25D474DC" w14:textId="77777777" w:rsidR="00425E57" w:rsidRDefault="00425E57" w:rsidP="00E12B44">
            <w:pPr>
              <w:jc w:val="center"/>
              <w:rPr>
                <w:rFonts w:eastAsia="Times New Roman"/>
                <w:color w:val="000000" w:themeColor="text1"/>
              </w:rPr>
            </w:pPr>
            <w:r w:rsidRPr="00B71D20">
              <w:rPr>
                <w:rFonts w:eastAsia="Times New Roman"/>
                <w:color w:val="000000" w:themeColor="text1"/>
              </w:rPr>
              <w:t>1,000</w:t>
            </w:r>
            <w:r w:rsidR="003B16DB">
              <w:rPr>
                <w:rFonts w:eastAsia="Times New Roman"/>
                <w:color w:val="000000" w:themeColor="text1"/>
              </w:rPr>
              <w:t>/</w:t>
            </w:r>
          </w:p>
          <w:p w14:paraId="0337447B" w14:textId="2CCC9E7E" w:rsidR="003B16DB" w:rsidRPr="00B71D20" w:rsidRDefault="003B16DB" w:rsidP="00E12B44">
            <w:pPr>
              <w:jc w:val="center"/>
              <w:rPr>
                <w:rFonts w:eastAsia="Times New Roman"/>
                <w:color w:val="000000" w:themeColor="text1"/>
              </w:rPr>
            </w:pPr>
            <w:r>
              <w:rPr>
                <w:rFonts w:eastAsia="Times New Roman"/>
                <w:color w:val="000000" w:themeColor="text1"/>
              </w:rPr>
              <w:t>~1,</w:t>
            </w:r>
            <w:r w:rsidR="00C105F2">
              <w:rPr>
                <w:rFonts w:eastAsia="Times New Roman"/>
                <w:color w:val="000000" w:themeColor="text1"/>
              </w:rPr>
              <w:t>100</w:t>
            </w:r>
          </w:p>
        </w:tc>
        <w:tc>
          <w:tcPr>
            <w:tcW w:w="303" w:type="pct"/>
            <w:shd w:val="clear" w:color="auto" w:fill="FFFFFF"/>
            <w:vAlign w:val="center"/>
          </w:tcPr>
          <w:p w14:paraId="7A4AD389" w14:textId="77777777" w:rsidR="00425E57" w:rsidRPr="00B71D20" w:rsidRDefault="00425E57" w:rsidP="003B16DB">
            <w:pPr>
              <w:jc w:val="center"/>
              <w:rPr>
                <w:rFonts w:eastAsia="Times New Roman"/>
                <w:color w:val="000000" w:themeColor="text1"/>
              </w:rPr>
            </w:pPr>
            <w:r>
              <w:rPr>
                <w:rFonts w:eastAsia="Times New Roman"/>
                <w:color w:val="000000" w:themeColor="text1"/>
              </w:rPr>
              <w:t>2</w:t>
            </w:r>
          </w:p>
        </w:tc>
      </w:tr>
      <w:tr w:rsidR="00425E57" w:rsidRPr="00B71D20" w14:paraId="2C3E10B5" w14:textId="77777777" w:rsidTr="008B562D">
        <w:trPr>
          <w:tblCellSpacing w:w="15" w:type="dxa"/>
        </w:trPr>
        <w:tc>
          <w:tcPr>
            <w:tcW w:w="318" w:type="pct"/>
            <w:shd w:val="clear" w:color="auto" w:fill="FFFFFF"/>
            <w:vAlign w:val="center"/>
            <w:hideMark/>
          </w:tcPr>
          <w:p w14:paraId="1CA994E6" w14:textId="6293E234" w:rsidR="00425E57" w:rsidRPr="00B71D20" w:rsidRDefault="00425E57" w:rsidP="00E12B44">
            <w:pPr>
              <w:jc w:val="center"/>
              <w:rPr>
                <w:rFonts w:eastAsia="Times New Roman"/>
                <w:color w:val="000000" w:themeColor="text1"/>
              </w:rPr>
            </w:pPr>
            <w:r w:rsidRPr="00B71D20">
              <w:rPr>
                <w:rFonts w:eastAsia="Times New Roman"/>
                <w:color w:val="000000" w:themeColor="text1"/>
              </w:rPr>
              <w:t>4</w:t>
            </w:r>
          </w:p>
        </w:tc>
        <w:tc>
          <w:tcPr>
            <w:tcW w:w="309" w:type="pct"/>
            <w:shd w:val="clear" w:color="auto" w:fill="FFFFFF"/>
            <w:vAlign w:val="center"/>
            <w:hideMark/>
          </w:tcPr>
          <w:p w14:paraId="30C1F39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4</w:t>
            </w:r>
          </w:p>
        </w:tc>
        <w:tc>
          <w:tcPr>
            <w:tcW w:w="2953" w:type="pct"/>
            <w:shd w:val="clear" w:color="auto" w:fill="FFFFFF"/>
            <w:vAlign w:val="center"/>
            <w:hideMark/>
          </w:tcPr>
          <w:p w14:paraId="1BAB2FB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The Wharf (Holdings) L</w:t>
            </w:r>
            <w:r>
              <w:rPr>
                <w:rFonts w:eastAsia="Times New Roman"/>
                <w:color w:val="000000" w:themeColor="text1"/>
              </w:rPr>
              <w:t>td.</w:t>
            </w:r>
          </w:p>
        </w:tc>
        <w:tc>
          <w:tcPr>
            <w:tcW w:w="518" w:type="pct"/>
            <w:shd w:val="clear" w:color="auto" w:fill="FFFFFF"/>
            <w:hideMark/>
          </w:tcPr>
          <w:p w14:paraId="11515D7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WHL</w:t>
            </w:r>
          </w:p>
        </w:tc>
        <w:tc>
          <w:tcPr>
            <w:tcW w:w="491" w:type="pct"/>
            <w:shd w:val="clear" w:color="auto" w:fill="FFFFFF"/>
            <w:hideMark/>
          </w:tcPr>
          <w:p w14:paraId="797C431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2F27FDBD"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1FBF414B" w14:textId="77777777" w:rsidTr="008B562D">
        <w:trPr>
          <w:tblCellSpacing w:w="15" w:type="dxa"/>
        </w:trPr>
        <w:tc>
          <w:tcPr>
            <w:tcW w:w="318" w:type="pct"/>
            <w:shd w:val="clear" w:color="auto" w:fill="FFFFFF"/>
            <w:vAlign w:val="center"/>
            <w:hideMark/>
          </w:tcPr>
          <w:p w14:paraId="6413A972"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w:t>
            </w:r>
          </w:p>
        </w:tc>
        <w:tc>
          <w:tcPr>
            <w:tcW w:w="309" w:type="pct"/>
            <w:shd w:val="clear" w:color="auto" w:fill="FFFFFF"/>
            <w:vAlign w:val="center"/>
            <w:hideMark/>
          </w:tcPr>
          <w:p w14:paraId="6158755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w:t>
            </w:r>
          </w:p>
        </w:tc>
        <w:tc>
          <w:tcPr>
            <w:tcW w:w="2953" w:type="pct"/>
            <w:shd w:val="clear" w:color="auto" w:fill="FFFFFF"/>
            <w:vAlign w:val="center"/>
            <w:hideMark/>
          </w:tcPr>
          <w:p w14:paraId="199B9A20"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HSBC Holdings Plc.</w:t>
            </w:r>
          </w:p>
        </w:tc>
        <w:tc>
          <w:tcPr>
            <w:tcW w:w="518" w:type="pct"/>
            <w:shd w:val="clear" w:color="auto" w:fill="FFFFFF"/>
            <w:hideMark/>
          </w:tcPr>
          <w:p w14:paraId="0174849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HKB</w:t>
            </w:r>
          </w:p>
        </w:tc>
        <w:tc>
          <w:tcPr>
            <w:tcW w:w="491" w:type="pct"/>
            <w:shd w:val="clear" w:color="auto" w:fill="FFFFFF"/>
            <w:hideMark/>
          </w:tcPr>
          <w:p w14:paraId="6E0F227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400</w:t>
            </w:r>
          </w:p>
        </w:tc>
        <w:tc>
          <w:tcPr>
            <w:tcW w:w="303" w:type="pct"/>
            <w:shd w:val="clear" w:color="auto" w:fill="FFFFFF"/>
          </w:tcPr>
          <w:p w14:paraId="55AB17DC"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7BECD226" w14:textId="77777777" w:rsidTr="008B562D">
        <w:trPr>
          <w:tblCellSpacing w:w="15" w:type="dxa"/>
        </w:trPr>
        <w:tc>
          <w:tcPr>
            <w:tcW w:w="318" w:type="pct"/>
            <w:shd w:val="clear" w:color="auto" w:fill="FFFFFF"/>
            <w:vAlign w:val="center"/>
            <w:hideMark/>
          </w:tcPr>
          <w:p w14:paraId="0738A31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6</w:t>
            </w:r>
          </w:p>
        </w:tc>
        <w:tc>
          <w:tcPr>
            <w:tcW w:w="309" w:type="pct"/>
            <w:shd w:val="clear" w:color="auto" w:fill="FFFFFF"/>
            <w:vAlign w:val="center"/>
            <w:hideMark/>
          </w:tcPr>
          <w:p w14:paraId="22D4FF0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6</w:t>
            </w:r>
          </w:p>
        </w:tc>
        <w:tc>
          <w:tcPr>
            <w:tcW w:w="2953" w:type="pct"/>
            <w:shd w:val="clear" w:color="auto" w:fill="FFFFFF"/>
            <w:vAlign w:val="center"/>
            <w:hideMark/>
          </w:tcPr>
          <w:p w14:paraId="60484AF7"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lang w:val="en-GB"/>
              </w:rPr>
              <w:t>Power Assets Holdings L</w:t>
            </w:r>
            <w:r>
              <w:rPr>
                <w:rFonts w:eastAsia="Times New Roman"/>
                <w:color w:val="000000" w:themeColor="text1"/>
                <w:lang w:val="en-GB"/>
              </w:rPr>
              <w:t>td.</w:t>
            </w:r>
            <w:r w:rsidRPr="00B71D20">
              <w:rPr>
                <w:rFonts w:eastAsia="Times New Roman"/>
                <w:bCs/>
                <w:color w:val="000000" w:themeColor="text1"/>
              </w:rPr>
              <w:t xml:space="preserve"> </w:t>
            </w:r>
          </w:p>
        </w:tc>
        <w:tc>
          <w:tcPr>
            <w:tcW w:w="518" w:type="pct"/>
            <w:shd w:val="clear" w:color="auto" w:fill="FFFFFF"/>
            <w:hideMark/>
          </w:tcPr>
          <w:p w14:paraId="17C55FED" w14:textId="77777777" w:rsidR="00425E57" w:rsidRDefault="00425E57" w:rsidP="00425E57">
            <w:pPr>
              <w:jc w:val="center"/>
              <w:rPr>
                <w:rFonts w:eastAsia="Times New Roman"/>
                <w:color w:val="000000" w:themeColor="text1"/>
              </w:rPr>
            </w:pPr>
            <w:r w:rsidRPr="00B71D20">
              <w:rPr>
                <w:rFonts w:eastAsia="Times New Roman"/>
                <w:color w:val="000000" w:themeColor="text1"/>
              </w:rPr>
              <w:t>HEH</w:t>
            </w:r>
            <w:r w:rsidR="00E12B44">
              <w:rPr>
                <w:rFonts w:eastAsia="Times New Roman"/>
                <w:color w:val="000000" w:themeColor="text1"/>
              </w:rPr>
              <w:t>/</w:t>
            </w:r>
          </w:p>
          <w:p w14:paraId="133535E6" w14:textId="490D4F71" w:rsidR="00E12B44" w:rsidRPr="00B71D20" w:rsidRDefault="00E12B44" w:rsidP="00425E57">
            <w:pPr>
              <w:jc w:val="center"/>
              <w:rPr>
                <w:rFonts w:eastAsia="Times New Roman"/>
                <w:color w:val="000000" w:themeColor="text1"/>
              </w:rPr>
            </w:pPr>
            <w:r>
              <w:rPr>
                <w:rFonts w:eastAsia="Times New Roman"/>
                <w:color w:val="000000" w:themeColor="text1"/>
              </w:rPr>
              <w:t>HEB</w:t>
            </w:r>
            <w:r w:rsidR="00A9377F">
              <w:rPr>
                <w:rFonts w:eastAsia="Times New Roman"/>
                <w:color w:val="000000" w:themeColor="text1"/>
              </w:rPr>
              <w:t>*</w:t>
            </w:r>
          </w:p>
        </w:tc>
        <w:tc>
          <w:tcPr>
            <w:tcW w:w="491" w:type="pct"/>
            <w:shd w:val="clear" w:color="auto" w:fill="FFFFFF"/>
            <w:hideMark/>
          </w:tcPr>
          <w:p w14:paraId="28A19836" w14:textId="77777777" w:rsidR="00425E57" w:rsidRDefault="00425E57" w:rsidP="00425E57">
            <w:pPr>
              <w:jc w:val="center"/>
              <w:rPr>
                <w:rFonts w:eastAsia="Times New Roman"/>
                <w:color w:val="000000" w:themeColor="text1"/>
              </w:rPr>
            </w:pPr>
            <w:r w:rsidRPr="00B71D20">
              <w:rPr>
                <w:rFonts w:eastAsia="Times New Roman"/>
                <w:color w:val="000000" w:themeColor="text1"/>
              </w:rPr>
              <w:t>500</w:t>
            </w:r>
            <w:r w:rsidR="00E12B44">
              <w:rPr>
                <w:rFonts w:eastAsia="Times New Roman"/>
                <w:color w:val="000000" w:themeColor="text1"/>
              </w:rPr>
              <w:t>/</w:t>
            </w:r>
          </w:p>
          <w:p w14:paraId="66B61B55" w14:textId="258A8DDD" w:rsidR="00E12B44" w:rsidRPr="00B71D20" w:rsidRDefault="00E12B44" w:rsidP="00425E57">
            <w:pPr>
              <w:jc w:val="center"/>
              <w:rPr>
                <w:rFonts w:eastAsia="Times New Roman"/>
                <w:color w:val="000000" w:themeColor="text1"/>
              </w:rPr>
            </w:pPr>
            <w:r>
              <w:rPr>
                <w:rFonts w:eastAsia="Times New Roman"/>
                <w:color w:val="000000" w:themeColor="text1"/>
              </w:rPr>
              <w:t>~547</w:t>
            </w:r>
          </w:p>
        </w:tc>
        <w:tc>
          <w:tcPr>
            <w:tcW w:w="303" w:type="pct"/>
            <w:shd w:val="clear" w:color="auto" w:fill="FFFFFF"/>
            <w:vAlign w:val="center"/>
          </w:tcPr>
          <w:p w14:paraId="734367AA" w14:textId="751BB525" w:rsidR="00E12B44" w:rsidRPr="00B71D20" w:rsidRDefault="00425E57" w:rsidP="00FB27E9">
            <w:pPr>
              <w:jc w:val="center"/>
              <w:rPr>
                <w:rFonts w:eastAsia="Times New Roman"/>
                <w:color w:val="000000" w:themeColor="text1"/>
              </w:rPr>
            </w:pPr>
            <w:r>
              <w:rPr>
                <w:rFonts w:eastAsia="Times New Roman"/>
                <w:color w:val="000000" w:themeColor="text1"/>
              </w:rPr>
              <w:t>1</w:t>
            </w:r>
          </w:p>
        </w:tc>
      </w:tr>
      <w:tr w:rsidR="00425E57" w:rsidRPr="00B71D20" w14:paraId="300E96CB" w14:textId="77777777" w:rsidTr="008B562D">
        <w:trPr>
          <w:tblCellSpacing w:w="15" w:type="dxa"/>
        </w:trPr>
        <w:tc>
          <w:tcPr>
            <w:tcW w:w="318" w:type="pct"/>
            <w:shd w:val="clear" w:color="auto" w:fill="FFFFFF"/>
            <w:vAlign w:val="center"/>
            <w:hideMark/>
          </w:tcPr>
          <w:p w14:paraId="47470380" w14:textId="432059B0" w:rsidR="00425E57" w:rsidRPr="00B71D20" w:rsidRDefault="00425E57" w:rsidP="00E12B44">
            <w:pPr>
              <w:jc w:val="center"/>
              <w:rPr>
                <w:rFonts w:eastAsia="Times New Roman"/>
                <w:color w:val="000000" w:themeColor="text1"/>
              </w:rPr>
            </w:pPr>
            <w:r w:rsidRPr="00B71D20">
              <w:rPr>
                <w:rFonts w:eastAsia="Times New Roman"/>
                <w:color w:val="000000" w:themeColor="text1"/>
              </w:rPr>
              <w:t>7</w:t>
            </w:r>
          </w:p>
        </w:tc>
        <w:tc>
          <w:tcPr>
            <w:tcW w:w="309" w:type="pct"/>
            <w:shd w:val="clear" w:color="auto" w:fill="FFFFFF"/>
            <w:vAlign w:val="center"/>
            <w:hideMark/>
          </w:tcPr>
          <w:p w14:paraId="0A5E1D8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11</w:t>
            </w:r>
          </w:p>
        </w:tc>
        <w:tc>
          <w:tcPr>
            <w:tcW w:w="2953" w:type="pct"/>
            <w:shd w:val="clear" w:color="auto" w:fill="FFFFFF"/>
            <w:vAlign w:val="center"/>
            <w:hideMark/>
          </w:tcPr>
          <w:p w14:paraId="57A0216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Hang Seng Bank L</w:t>
            </w:r>
            <w:r>
              <w:rPr>
                <w:rFonts w:eastAsia="Times New Roman"/>
                <w:color w:val="000000" w:themeColor="text1"/>
              </w:rPr>
              <w:t>td.</w:t>
            </w:r>
          </w:p>
        </w:tc>
        <w:tc>
          <w:tcPr>
            <w:tcW w:w="518" w:type="pct"/>
            <w:shd w:val="clear" w:color="auto" w:fill="FFFFFF"/>
            <w:hideMark/>
          </w:tcPr>
          <w:p w14:paraId="352D75C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HSB</w:t>
            </w:r>
          </w:p>
        </w:tc>
        <w:tc>
          <w:tcPr>
            <w:tcW w:w="491" w:type="pct"/>
            <w:shd w:val="clear" w:color="auto" w:fill="FFFFFF"/>
            <w:hideMark/>
          </w:tcPr>
          <w:p w14:paraId="2C0D4B6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w:t>
            </w:r>
          </w:p>
        </w:tc>
        <w:tc>
          <w:tcPr>
            <w:tcW w:w="303" w:type="pct"/>
            <w:shd w:val="clear" w:color="auto" w:fill="FFFFFF"/>
          </w:tcPr>
          <w:p w14:paraId="1513B4DF"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01EFFB1F" w14:textId="77777777" w:rsidTr="003B16DB">
        <w:trPr>
          <w:tblCellSpacing w:w="15" w:type="dxa"/>
        </w:trPr>
        <w:tc>
          <w:tcPr>
            <w:tcW w:w="318" w:type="pct"/>
            <w:shd w:val="clear" w:color="auto" w:fill="FFFFFF"/>
            <w:vAlign w:val="center"/>
            <w:hideMark/>
          </w:tcPr>
          <w:p w14:paraId="3ABBC40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8</w:t>
            </w:r>
          </w:p>
        </w:tc>
        <w:tc>
          <w:tcPr>
            <w:tcW w:w="309" w:type="pct"/>
            <w:shd w:val="clear" w:color="auto" w:fill="FFFFFF"/>
            <w:vAlign w:val="center"/>
            <w:hideMark/>
          </w:tcPr>
          <w:p w14:paraId="505C6263"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12</w:t>
            </w:r>
          </w:p>
        </w:tc>
        <w:tc>
          <w:tcPr>
            <w:tcW w:w="2953" w:type="pct"/>
            <w:shd w:val="clear" w:color="auto" w:fill="FFFFFF"/>
            <w:vAlign w:val="center"/>
            <w:hideMark/>
          </w:tcPr>
          <w:p w14:paraId="033756FF"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Henderson Land Development Company L</w:t>
            </w:r>
            <w:r>
              <w:rPr>
                <w:rFonts w:eastAsia="Times New Roman"/>
                <w:color w:val="000000" w:themeColor="text1"/>
              </w:rPr>
              <w:t>td.</w:t>
            </w:r>
          </w:p>
        </w:tc>
        <w:tc>
          <w:tcPr>
            <w:tcW w:w="518" w:type="pct"/>
            <w:shd w:val="clear" w:color="auto" w:fill="FFFFFF"/>
            <w:hideMark/>
          </w:tcPr>
          <w:p w14:paraId="06977CA7" w14:textId="77777777" w:rsidR="003B16DB" w:rsidRDefault="00425E57" w:rsidP="00E12B44">
            <w:pPr>
              <w:jc w:val="center"/>
              <w:rPr>
                <w:rFonts w:eastAsia="Times New Roman"/>
                <w:color w:val="000000" w:themeColor="text1"/>
              </w:rPr>
            </w:pPr>
            <w:r w:rsidRPr="00B71D20">
              <w:rPr>
                <w:rFonts w:eastAsia="Times New Roman"/>
                <w:color w:val="000000" w:themeColor="text1"/>
              </w:rPr>
              <w:t>HLD</w:t>
            </w:r>
            <w:r w:rsidR="003B16DB">
              <w:rPr>
                <w:rFonts w:eastAsia="Times New Roman"/>
                <w:color w:val="000000" w:themeColor="text1"/>
              </w:rPr>
              <w:t>/</w:t>
            </w:r>
          </w:p>
          <w:p w14:paraId="7D111EBE" w14:textId="1A80185D" w:rsidR="00425E57" w:rsidRPr="00B71D20" w:rsidRDefault="003B16DB" w:rsidP="00E12B44">
            <w:pPr>
              <w:jc w:val="center"/>
              <w:rPr>
                <w:rFonts w:eastAsia="Times New Roman"/>
                <w:color w:val="000000" w:themeColor="text1"/>
              </w:rPr>
            </w:pPr>
            <w:r>
              <w:rPr>
                <w:rFonts w:eastAsia="Times New Roman"/>
                <w:color w:val="000000" w:themeColor="text1"/>
              </w:rPr>
              <w:t>HLA*</w:t>
            </w:r>
          </w:p>
        </w:tc>
        <w:tc>
          <w:tcPr>
            <w:tcW w:w="491" w:type="pct"/>
            <w:shd w:val="clear" w:color="auto" w:fill="FFFFFF"/>
            <w:hideMark/>
          </w:tcPr>
          <w:p w14:paraId="3F336B25" w14:textId="77777777" w:rsidR="00425E57" w:rsidRDefault="00425E57" w:rsidP="00E12B44">
            <w:pPr>
              <w:jc w:val="center"/>
              <w:rPr>
                <w:rFonts w:eastAsia="Times New Roman"/>
                <w:color w:val="000000" w:themeColor="text1"/>
              </w:rPr>
            </w:pPr>
            <w:r w:rsidRPr="00B71D20">
              <w:rPr>
                <w:rFonts w:eastAsia="Times New Roman"/>
                <w:color w:val="000000" w:themeColor="text1"/>
              </w:rPr>
              <w:t>1,000</w:t>
            </w:r>
            <w:r w:rsidR="003B16DB">
              <w:rPr>
                <w:rFonts w:eastAsia="Times New Roman"/>
                <w:color w:val="000000" w:themeColor="text1"/>
              </w:rPr>
              <w:t>/</w:t>
            </w:r>
          </w:p>
          <w:p w14:paraId="14D56261" w14:textId="13D253EA" w:rsidR="003B16DB" w:rsidRPr="00B71D20" w:rsidRDefault="00C105F2" w:rsidP="00E12B44">
            <w:pPr>
              <w:jc w:val="center"/>
              <w:rPr>
                <w:rFonts w:eastAsia="Times New Roman"/>
                <w:color w:val="000000" w:themeColor="text1"/>
              </w:rPr>
            </w:pPr>
            <w:r>
              <w:rPr>
                <w:rFonts w:eastAsia="Times New Roman"/>
                <w:color w:val="000000" w:themeColor="text1"/>
              </w:rPr>
              <w:t>~1,100</w:t>
            </w:r>
          </w:p>
        </w:tc>
        <w:tc>
          <w:tcPr>
            <w:tcW w:w="303" w:type="pct"/>
            <w:shd w:val="clear" w:color="auto" w:fill="FFFFFF"/>
            <w:vAlign w:val="center"/>
          </w:tcPr>
          <w:p w14:paraId="592BD750" w14:textId="77777777" w:rsidR="00425E57" w:rsidRPr="00B71D20" w:rsidRDefault="00425E57" w:rsidP="003B16DB">
            <w:pPr>
              <w:jc w:val="center"/>
              <w:rPr>
                <w:rFonts w:eastAsia="Times New Roman"/>
                <w:color w:val="000000" w:themeColor="text1"/>
              </w:rPr>
            </w:pPr>
            <w:r>
              <w:rPr>
                <w:rFonts w:eastAsia="Times New Roman"/>
                <w:color w:val="000000" w:themeColor="text1"/>
              </w:rPr>
              <w:t>1</w:t>
            </w:r>
          </w:p>
        </w:tc>
      </w:tr>
      <w:tr w:rsidR="00425E57" w:rsidRPr="00B71D20" w14:paraId="00DB2304" w14:textId="77777777" w:rsidTr="008B562D">
        <w:trPr>
          <w:tblCellSpacing w:w="15" w:type="dxa"/>
        </w:trPr>
        <w:tc>
          <w:tcPr>
            <w:tcW w:w="318" w:type="pct"/>
            <w:shd w:val="clear" w:color="auto" w:fill="FFFFFF"/>
            <w:vAlign w:val="center"/>
            <w:hideMark/>
          </w:tcPr>
          <w:p w14:paraId="6E818CAE" w14:textId="32A24F99" w:rsidR="00425E57" w:rsidRPr="00B71D20" w:rsidRDefault="00425E57" w:rsidP="00E12B44">
            <w:pPr>
              <w:jc w:val="center"/>
              <w:rPr>
                <w:rFonts w:eastAsia="Times New Roman"/>
                <w:color w:val="000000" w:themeColor="text1"/>
              </w:rPr>
            </w:pPr>
            <w:r w:rsidRPr="00B71D20">
              <w:rPr>
                <w:rFonts w:eastAsia="Times New Roman"/>
                <w:color w:val="000000" w:themeColor="text1"/>
              </w:rPr>
              <w:t>9</w:t>
            </w:r>
          </w:p>
        </w:tc>
        <w:tc>
          <w:tcPr>
            <w:tcW w:w="309" w:type="pct"/>
            <w:shd w:val="clear" w:color="auto" w:fill="FFFFFF"/>
            <w:vAlign w:val="center"/>
            <w:hideMark/>
          </w:tcPr>
          <w:p w14:paraId="7AFEE6CC"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16</w:t>
            </w:r>
          </w:p>
        </w:tc>
        <w:tc>
          <w:tcPr>
            <w:tcW w:w="2953" w:type="pct"/>
            <w:shd w:val="clear" w:color="auto" w:fill="FFFFFF"/>
            <w:vAlign w:val="center"/>
            <w:hideMark/>
          </w:tcPr>
          <w:p w14:paraId="1FE90CFC"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Sun Hung Kai Properties L</w:t>
            </w:r>
            <w:r>
              <w:rPr>
                <w:rFonts w:eastAsia="Times New Roman"/>
                <w:color w:val="000000" w:themeColor="text1"/>
              </w:rPr>
              <w:t>td.</w:t>
            </w:r>
          </w:p>
        </w:tc>
        <w:tc>
          <w:tcPr>
            <w:tcW w:w="518" w:type="pct"/>
            <w:shd w:val="clear" w:color="auto" w:fill="FFFFFF"/>
            <w:hideMark/>
          </w:tcPr>
          <w:p w14:paraId="4AA3D02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SHK</w:t>
            </w:r>
          </w:p>
        </w:tc>
        <w:tc>
          <w:tcPr>
            <w:tcW w:w="491" w:type="pct"/>
            <w:shd w:val="clear" w:color="auto" w:fill="FFFFFF"/>
            <w:hideMark/>
          </w:tcPr>
          <w:p w14:paraId="097623C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1446F2BE"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3F223318" w14:textId="77777777" w:rsidTr="008B562D">
        <w:trPr>
          <w:tblCellSpacing w:w="15" w:type="dxa"/>
        </w:trPr>
        <w:tc>
          <w:tcPr>
            <w:tcW w:w="318" w:type="pct"/>
            <w:shd w:val="clear" w:color="auto" w:fill="FFFFFF"/>
            <w:vAlign w:val="center"/>
            <w:hideMark/>
          </w:tcPr>
          <w:p w14:paraId="71DB0892"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w:t>
            </w:r>
          </w:p>
        </w:tc>
        <w:tc>
          <w:tcPr>
            <w:tcW w:w="309" w:type="pct"/>
            <w:shd w:val="clear" w:color="auto" w:fill="FFFFFF"/>
            <w:vAlign w:val="center"/>
            <w:hideMark/>
          </w:tcPr>
          <w:p w14:paraId="7AE4CB1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17</w:t>
            </w:r>
          </w:p>
        </w:tc>
        <w:tc>
          <w:tcPr>
            <w:tcW w:w="2953" w:type="pct"/>
            <w:shd w:val="clear" w:color="auto" w:fill="FFFFFF"/>
            <w:vAlign w:val="center"/>
            <w:hideMark/>
          </w:tcPr>
          <w:p w14:paraId="3651098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New World Development Company L</w:t>
            </w:r>
            <w:r>
              <w:rPr>
                <w:rFonts w:eastAsia="Times New Roman"/>
                <w:color w:val="000000" w:themeColor="text1"/>
              </w:rPr>
              <w:t>td.</w:t>
            </w:r>
          </w:p>
        </w:tc>
        <w:tc>
          <w:tcPr>
            <w:tcW w:w="518" w:type="pct"/>
            <w:shd w:val="clear" w:color="auto" w:fill="FFFFFF"/>
            <w:hideMark/>
          </w:tcPr>
          <w:p w14:paraId="5DE657F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NWD</w:t>
            </w:r>
          </w:p>
        </w:tc>
        <w:tc>
          <w:tcPr>
            <w:tcW w:w="491" w:type="pct"/>
            <w:shd w:val="clear" w:color="auto" w:fill="FFFFFF"/>
            <w:hideMark/>
          </w:tcPr>
          <w:p w14:paraId="68CA01E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28B83DA9"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56A5F764" w14:textId="77777777" w:rsidTr="008B562D">
        <w:trPr>
          <w:tblCellSpacing w:w="15" w:type="dxa"/>
        </w:trPr>
        <w:tc>
          <w:tcPr>
            <w:tcW w:w="318" w:type="pct"/>
            <w:shd w:val="clear" w:color="auto" w:fill="FFFFFF"/>
            <w:vAlign w:val="center"/>
            <w:hideMark/>
          </w:tcPr>
          <w:p w14:paraId="1E0EEA2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11</w:t>
            </w:r>
          </w:p>
        </w:tc>
        <w:tc>
          <w:tcPr>
            <w:tcW w:w="309" w:type="pct"/>
            <w:shd w:val="clear" w:color="auto" w:fill="FFFFFF"/>
            <w:vAlign w:val="center"/>
            <w:hideMark/>
          </w:tcPr>
          <w:p w14:paraId="3D388F43"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19</w:t>
            </w:r>
          </w:p>
        </w:tc>
        <w:tc>
          <w:tcPr>
            <w:tcW w:w="2953" w:type="pct"/>
            <w:shd w:val="clear" w:color="auto" w:fill="FFFFFF"/>
            <w:vAlign w:val="center"/>
            <w:hideMark/>
          </w:tcPr>
          <w:p w14:paraId="3DDCDBAD"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Swire Pacific Limited 'A' </w:t>
            </w:r>
          </w:p>
        </w:tc>
        <w:tc>
          <w:tcPr>
            <w:tcW w:w="518" w:type="pct"/>
            <w:shd w:val="clear" w:color="auto" w:fill="FFFFFF"/>
            <w:hideMark/>
          </w:tcPr>
          <w:p w14:paraId="5CE4499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SWA</w:t>
            </w:r>
          </w:p>
        </w:tc>
        <w:tc>
          <w:tcPr>
            <w:tcW w:w="491" w:type="pct"/>
            <w:shd w:val="clear" w:color="auto" w:fill="FFFFFF"/>
            <w:hideMark/>
          </w:tcPr>
          <w:p w14:paraId="3CE9476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5C662BAA"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3CD58609" w14:textId="77777777" w:rsidTr="008B562D">
        <w:trPr>
          <w:tblCellSpacing w:w="15" w:type="dxa"/>
        </w:trPr>
        <w:tc>
          <w:tcPr>
            <w:tcW w:w="318" w:type="pct"/>
            <w:shd w:val="clear" w:color="auto" w:fill="FFFFFF"/>
            <w:vAlign w:val="center"/>
            <w:hideMark/>
          </w:tcPr>
          <w:p w14:paraId="3810A0F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12</w:t>
            </w:r>
          </w:p>
        </w:tc>
        <w:tc>
          <w:tcPr>
            <w:tcW w:w="309" w:type="pct"/>
            <w:shd w:val="clear" w:color="auto" w:fill="FFFFFF"/>
            <w:vAlign w:val="center"/>
            <w:hideMark/>
          </w:tcPr>
          <w:p w14:paraId="70FC750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23</w:t>
            </w:r>
          </w:p>
        </w:tc>
        <w:tc>
          <w:tcPr>
            <w:tcW w:w="2953" w:type="pct"/>
            <w:shd w:val="clear" w:color="auto" w:fill="FFFFFF"/>
            <w:vAlign w:val="center"/>
            <w:hideMark/>
          </w:tcPr>
          <w:p w14:paraId="20218D9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The Bank of East Asia, L</w:t>
            </w:r>
            <w:r>
              <w:rPr>
                <w:rFonts w:eastAsia="Times New Roman"/>
                <w:color w:val="000000" w:themeColor="text1"/>
              </w:rPr>
              <w:t>td.</w:t>
            </w:r>
          </w:p>
        </w:tc>
        <w:tc>
          <w:tcPr>
            <w:tcW w:w="518" w:type="pct"/>
            <w:shd w:val="clear" w:color="auto" w:fill="FFFFFF"/>
            <w:hideMark/>
          </w:tcPr>
          <w:p w14:paraId="4240C43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BEA</w:t>
            </w:r>
          </w:p>
        </w:tc>
        <w:tc>
          <w:tcPr>
            <w:tcW w:w="491" w:type="pct"/>
            <w:shd w:val="clear" w:color="auto" w:fill="FFFFFF"/>
            <w:hideMark/>
          </w:tcPr>
          <w:p w14:paraId="49B4A2A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w:t>
            </w:r>
          </w:p>
        </w:tc>
        <w:tc>
          <w:tcPr>
            <w:tcW w:w="303" w:type="pct"/>
            <w:shd w:val="clear" w:color="auto" w:fill="FFFFFF"/>
          </w:tcPr>
          <w:p w14:paraId="31D11313"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r w:rsidR="00425E57" w:rsidRPr="00B71D20" w14:paraId="7519156A" w14:textId="77777777" w:rsidTr="008B562D">
        <w:trPr>
          <w:tblCellSpacing w:w="15" w:type="dxa"/>
        </w:trPr>
        <w:tc>
          <w:tcPr>
            <w:tcW w:w="318" w:type="pct"/>
            <w:shd w:val="clear" w:color="auto" w:fill="FFFFFF"/>
            <w:vAlign w:val="center"/>
            <w:hideMark/>
          </w:tcPr>
          <w:p w14:paraId="6683E1B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13</w:t>
            </w:r>
          </w:p>
        </w:tc>
        <w:tc>
          <w:tcPr>
            <w:tcW w:w="309" w:type="pct"/>
            <w:shd w:val="clear" w:color="auto" w:fill="FFFFFF"/>
            <w:vAlign w:val="center"/>
            <w:hideMark/>
          </w:tcPr>
          <w:p w14:paraId="6C76BFC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66</w:t>
            </w:r>
          </w:p>
        </w:tc>
        <w:tc>
          <w:tcPr>
            <w:tcW w:w="2953" w:type="pct"/>
            <w:shd w:val="clear" w:color="auto" w:fill="FFFFFF"/>
            <w:vAlign w:val="center"/>
            <w:hideMark/>
          </w:tcPr>
          <w:p w14:paraId="22A946FC"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MTR Corporation L</w:t>
            </w:r>
            <w:r>
              <w:rPr>
                <w:rFonts w:eastAsia="Times New Roman"/>
                <w:color w:val="000000" w:themeColor="text1"/>
              </w:rPr>
              <w:t>td.</w:t>
            </w:r>
          </w:p>
        </w:tc>
        <w:tc>
          <w:tcPr>
            <w:tcW w:w="518" w:type="pct"/>
            <w:shd w:val="clear" w:color="auto" w:fill="FFFFFF"/>
            <w:hideMark/>
          </w:tcPr>
          <w:p w14:paraId="531502D8"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MTR</w:t>
            </w:r>
          </w:p>
        </w:tc>
        <w:tc>
          <w:tcPr>
            <w:tcW w:w="491" w:type="pct"/>
            <w:shd w:val="clear" w:color="auto" w:fill="FFFFFF"/>
            <w:hideMark/>
          </w:tcPr>
          <w:p w14:paraId="681AF56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6D446D11"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45648FA6" w14:textId="77777777" w:rsidTr="008B562D">
        <w:trPr>
          <w:tblCellSpacing w:w="15" w:type="dxa"/>
        </w:trPr>
        <w:tc>
          <w:tcPr>
            <w:tcW w:w="318" w:type="pct"/>
            <w:shd w:val="clear" w:color="auto" w:fill="FFFFFF"/>
            <w:vAlign w:val="center"/>
            <w:hideMark/>
          </w:tcPr>
          <w:p w14:paraId="5E57877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14</w:t>
            </w:r>
          </w:p>
        </w:tc>
        <w:tc>
          <w:tcPr>
            <w:tcW w:w="309" w:type="pct"/>
            <w:shd w:val="clear" w:color="auto" w:fill="FFFFFF"/>
            <w:vAlign w:val="center"/>
            <w:hideMark/>
          </w:tcPr>
          <w:p w14:paraId="5EF4686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267</w:t>
            </w:r>
          </w:p>
        </w:tc>
        <w:tc>
          <w:tcPr>
            <w:tcW w:w="2953" w:type="pct"/>
            <w:shd w:val="clear" w:color="auto" w:fill="FFFFFF"/>
            <w:vAlign w:val="center"/>
            <w:hideMark/>
          </w:tcPr>
          <w:p w14:paraId="6155E32D"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CITIC Pacific L</w:t>
            </w:r>
            <w:r>
              <w:rPr>
                <w:rFonts w:eastAsia="Times New Roman"/>
                <w:color w:val="000000" w:themeColor="text1"/>
              </w:rPr>
              <w:t>td.</w:t>
            </w:r>
          </w:p>
        </w:tc>
        <w:tc>
          <w:tcPr>
            <w:tcW w:w="518" w:type="pct"/>
            <w:shd w:val="clear" w:color="auto" w:fill="FFFFFF"/>
            <w:hideMark/>
          </w:tcPr>
          <w:p w14:paraId="36F9122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CIT</w:t>
            </w:r>
          </w:p>
        </w:tc>
        <w:tc>
          <w:tcPr>
            <w:tcW w:w="491" w:type="pct"/>
            <w:shd w:val="clear" w:color="auto" w:fill="FFFFFF"/>
            <w:hideMark/>
          </w:tcPr>
          <w:p w14:paraId="0C3B70F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5F687530"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4A074DF9" w14:textId="77777777" w:rsidTr="008B562D">
        <w:trPr>
          <w:tblCellSpacing w:w="15" w:type="dxa"/>
        </w:trPr>
        <w:tc>
          <w:tcPr>
            <w:tcW w:w="318" w:type="pct"/>
            <w:shd w:val="clear" w:color="auto" w:fill="FFFFFF"/>
            <w:vAlign w:val="center"/>
            <w:hideMark/>
          </w:tcPr>
          <w:p w14:paraId="3DE7ABA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15</w:t>
            </w:r>
          </w:p>
        </w:tc>
        <w:tc>
          <w:tcPr>
            <w:tcW w:w="309" w:type="pct"/>
            <w:shd w:val="clear" w:color="auto" w:fill="FFFFFF"/>
            <w:vAlign w:val="center"/>
            <w:hideMark/>
          </w:tcPr>
          <w:p w14:paraId="7BB0B8B2"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293</w:t>
            </w:r>
          </w:p>
        </w:tc>
        <w:tc>
          <w:tcPr>
            <w:tcW w:w="2953" w:type="pct"/>
            <w:shd w:val="clear" w:color="auto" w:fill="FFFFFF"/>
            <w:vAlign w:val="center"/>
            <w:hideMark/>
          </w:tcPr>
          <w:p w14:paraId="45AA8A1D"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Cathay Pacific Airways L</w:t>
            </w:r>
            <w:r>
              <w:rPr>
                <w:rFonts w:eastAsia="Times New Roman"/>
                <w:color w:val="000000" w:themeColor="text1"/>
              </w:rPr>
              <w:t>td.</w:t>
            </w:r>
          </w:p>
        </w:tc>
        <w:tc>
          <w:tcPr>
            <w:tcW w:w="518" w:type="pct"/>
            <w:shd w:val="clear" w:color="auto" w:fill="FFFFFF"/>
            <w:hideMark/>
          </w:tcPr>
          <w:p w14:paraId="3A814158"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CPA</w:t>
            </w:r>
          </w:p>
        </w:tc>
        <w:tc>
          <w:tcPr>
            <w:tcW w:w="491" w:type="pct"/>
            <w:shd w:val="clear" w:color="auto" w:fill="FFFFFF"/>
            <w:hideMark/>
          </w:tcPr>
          <w:p w14:paraId="0BB4996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2A6D9C06"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72D3B6A6" w14:textId="77777777" w:rsidTr="008B562D">
        <w:trPr>
          <w:tblCellSpacing w:w="15" w:type="dxa"/>
        </w:trPr>
        <w:tc>
          <w:tcPr>
            <w:tcW w:w="318" w:type="pct"/>
            <w:shd w:val="clear" w:color="auto" w:fill="FFFFFF"/>
            <w:vAlign w:val="center"/>
            <w:hideMark/>
          </w:tcPr>
          <w:p w14:paraId="1547215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16</w:t>
            </w:r>
          </w:p>
        </w:tc>
        <w:tc>
          <w:tcPr>
            <w:tcW w:w="309" w:type="pct"/>
            <w:shd w:val="clear" w:color="auto" w:fill="FFFFFF"/>
            <w:vAlign w:val="center"/>
            <w:hideMark/>
          </w:tcPr>
          <w:p w14:paraId="64D72FA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386</w:t>
            </w:r>
          </w:p>
        </w:tc>
        <w:tc>
          <w:tcPr>
            <w:tcW w:w="2953" w:type="pct"/>
            <w:shd w:val="clear" w:color="auto" w:fill="FFFFFF"/>
            <w:vAlign w:val="center"/>
            <w:hideMark/>
          </w:tcPr>
          <w:p w14:paraId="2E4B9E64"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Petroleum &amp; Chemical Corporation</w:t>
            </w:r>
          </w:p>
        </w:tc>
        <w:tc>
          <w:tcPr>
            <w:tcW w:w="518" w:type="pct"/>
            <w:shd w:val="clear" w:color="auto" w:fill="FFFFFF"/>
            <w:hideMark/>
          </w:tcPr>
          <w:p w14:paraId="260826D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CPC</w:t>
            </w:r>
          </w:p>
        </w:tc>
        <w:tc>
          <w:tcPr>
            <w:tcW w:w="491" w:type="pct"/>
            <w:shd w:val="clear" w:color="auto" w:fill="FFFFFF"/>
            <w:hideMark/>
          </w:tcPr>
          <w:p w14:paraId="21C5D427"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3D68A6CC"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197EB2BA" w14:textId="77777777" w:rsidTr="008B562D">
        <w:trPr>
          <w:tblCellSpacing w:w="15" w:type="dxa"/>
        </w:trPr>
        <w:tc>
          <w:tcPr>
            <w:tcW w:w="318" w:type="pct"/>
            <w:shd w:val="clear" w:color="auto" w:fill="FFFFFF"/>
            <w:vAlign w:val="center"/>
            <w:hideMark/>
          </w:tcPr>
          <w:p w14:paraId="3F12F6A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17</w:t>
            </w:r>
          </w:p>
        </w:tc>
        <w:tc>
          <w:tcPr>
            <w:tcW w:w="309" w:type="pct"/>
            <w:shd w:val="clear" w:color="auto" w:fill="FFFFFF"/>
            <w:vAlign w:val="center"/>
            <w:hideMark/>
          </w:tcPr>
          <w:p w14:paraId="558CC07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388</w:t>
            </w:r>
          </w:p>
        </w:tc>
        <w:tc>
          <w:tcPr>
            <w:tcW w:w="2953" w:type="pct"/>
            <w:shd w:val="clear" w:color="auto" w:fill="FFFFFF"/>
            <w:vAlign w:val="center"/>
            <w:hideMark/>
          </w:tcPr>
          <w:p w14:paraId="13C0EC6D"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Hong Kong Exchanges and Clearing L</w:t>
            </w:r>
            <w:r>
              <w:rPr>
                <w:rFonts w:eastAsia="Times New Roman"/>
                <w:color w:val="000000" w:themeColor="text1"/>
              </w:rPr>
              <w:t>td.</w:t>
            </w:r>
          </w:p>
        </w:tc>
        <w:tc>
          <w:tcPr>
            <w:tcW w:w="518" w:type="pct"/>
            <w:shd w:val="clear" w:color="auto" w:fill="FFFFFF"/>
            <w:hideMark/>
          </w:tcPr>
          <w:p w14:paraId="6B3ADED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HEX</w:t>
            </w:r>
          </w:p>
        </w:tc>
        <w:tc>
          <w:tcPr>
            <w:tcW w:w="491" w:type="pct"/>
            <w:shd w:val="clear" w:color="auto" w:fill="FFFFFF"/>
            <w:hideMark/>
          </w:tcPr>
          <w:p w14:paraId="4C840F1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w:t>
            </w:r>
          </w:p>
        </w:tc>
        <w:tc>
          <w:tcPr>
            <w:tcW w:w="303" w:type="pct"/>
            <w:shd w:val="clear" w:color="auto" w:fill="FFFFFF"/>
          </w:tcPr>
          <w:p w14:paraId="01439A2F"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110E08FC" w14:textId="77777777" w:rsidTr="003B16DB">
        <w:trPr>
          <w:tblCellSpacing w:w="15" w:type="dxa"/>
        </w:trPr>
        <w:tc>
          <w:tcPr>
            <w:tcW w:w="318" w:type="pct"/>
            <w:shd w:val="clear" w:color="auto" w:fill="FFFFFF"/>
            <w:vAlign w:val="center"/>
            <w:hideMark/>
          </w:tcPr>
          <w:p w14:paraId="2C9B3F2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18</w:t>
            </w:r>
          </w:p>
        </w:tc>
        <w:tc>
          <w:tcPr>
            <w:tcW w:w="309" w:type="pct"/>
            <w:shd w:val="clear" w:color="auto" w:fill="FFFFFF"/>
            <w:vAlign w:val="center"/>
            <w:hideMark/>
          </w:tcPr>
          <w:p w14:paraId="5AD24EE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494</w:t>
            </w:r>
          </w:p>
        </w:tc>
        <w:tc>
          <w:tcPr>
            <w:tcW w:w="2953" w:type="pct"/>
            <w:shd w:val="clear" w:color="auto" w:fill="FFFFFF"/>
            <w:vAlign w:val="center"/>
            <w:hideMark/>
          </w:tcPr>
          <w:p w14:paraId="512A2862"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Li &amp; Fung L</w:t>
            </w:r>
            <w:r>
              <w:rPr>
                <w:rFonts w:eastAsia="Times New Roman"/>
                <w:color w:val="000000" w:themeColor="text1"/>
              </w:rPr>
              <w:t>td.</w:t>
            </w:r>
          </w:p>
        </w:tc>
        <w:tc>
          <w:tcPr>
            <w:tcW w:w="518" w:type="pct"/>
            <w:shd w:val="clear" w:color="auto" w:fill="FFFFFF"/>
            <w:hideMark/>
          </w:tcPr>
          <w:p w14:paraId="67D2A4CE" w14:textId="77777777" w:rsidR="00425E57" w:rsidRDefault="00425E57" w:rsidP="00E12B44">
            <w:pPr>
              <w:jc w:val="center"/>
              <w:rPr>
                <w:rFonts w:eastAsia="Times New Roman"/>
                <w:color w:val="000000" w:themeColor="text1"/>
              </w:rPr>
            </w:pPr>
            <w:r w:rsidRPr="00B71D20">
              <w:rPr>
                <w:rFonts w:eastAsia="Times New Roman"/>
                <w:color w:val="000000" w:themeColor="text1"/>
              </w:rPr>
              <w:t>LIF</w:t>
            </w:r>
            <w:r w:rsidR="003B16DB">
              <w:rPr>
                <w:rFonts w:eastAsia="Times New Roman"/>
                <w:color w:val="000000" w:themeColor="text1"/>
              </w:rPr>
              <w:t>/</w:t>
            </w:r>
          </w:p>
          <w:p w14:paraId="595C10C4" w14:textId="20B89755" w:rsidR="003B16DB" w:rsidRPr="00B71D20" w:rsidRDefault="003B16DB" w:rsidP="00E12B44">
            <w:pPr>
              <w:jc w:val="center"/>
              <w:rPr>
                <w:rFonts w:eastAsia="Times New Roman"/>
                <w:color w:val="000000" w:themeColor="text1"/>
              </w:rPr>
            </w:pPr>
            <w:r>
              <w:rPr>
                <w:rFonts w:eastAsia="Times New Roman"/>
                <w:color w:val="000000" w:themeColor="text1"/>
              </w:rPr>
              <w:t>LIA*</w:t>
            </w:r>
          </w:p>
        </w:tc>
        <w:tc>
          <w:tcPr>
            <w:tcW w:w="491" w:type="pct"/>
            <w:shd w:val="clear" w:color="auto" w:fill="FFFFFF"/>
            <w:hideMark/>
          </w:tcPr>
          <w:p w14:paraId="1DE41ED2" w14:textId="77777777" w:rsidR="00425E57" w:rsidRDefault="00425E57" w:rsidP="00E12B44">
            <w:pPr>
              <w:jc w:val="center"/>
              <w:rPr>
                <w:rFonts w:eastAsia="Times New Roman"/>
                <w:color w:val="000000" w:themeColor="text1"/>
              </w:rPr>
            </w:pPr>
            <w:r w:rsidRPr="00B71D20">
              <w:rPr>
                <w:rFonts w:eastAsia="Times New Roman"/>
                <w:color w:val="000000" w:themeColor="text1"/>
              </w:rPr>
              <w:t>2,000</w:t>
            </w:r>
            <w:r w:rsidR="003B16DB">
              <w:rPr>
                <w:rFonts w:eastAsia="Times New Roman"/>
                <w:color w:val="000000" w:themeColor="text1"/>
              </w:rPr>
              <w:t>/</w:t>
            </w:r>
          </w:p>
          <w:p w14:paraId="3BFC0EE3" w14:textId="248A3A8C" w:rsidR="003B16DB" w:rsidRPr="00B71D20" w:rsidRDefault="003B16DB" w:rsidP="00E12B44">
            <w:pPr>
              <w:jc w:val="center"/>
              <w:rPr>
                <w:rFonts w:eastAsia="Times New Roman"/>
                <w:color w:val="000000" w:themeColor="text1"/>
              </w:rPr>
            </w:pPr>
            <w:r>
              <w:rPr>
                <w:rFonts w:eastAsia="Times New Roman"/>
                <w:color w:val="000000" w:themeColor="text1"/>
              </w:rPr>
              <w:t>~2</w:t>
            </w:r>
            <w:r w:rsidR="00877BF0">
              <w:rPr>
                <w:rFonts w:eastAsia="Times New Roman"/>
                <w:color w:val="000000" w:themeColor="text1"/>
              </w:rPr>
              <w:t>,</w:t>
            </w:r>
            <w:r>
              <w:rPr>
                <w:rFonts w:eastAsia="Times New Roman"/>
                <w:color w:val="000000" w:themeColor="text1"/>
              </w:rPr>
              <w:t>256</w:t>
            </w:r>
          </w:p>
        </w:tc>
        <w:tc>
          <w:tcPr>
            <w:tcW w:w="303" w:type="pct"/>
            <w:shd w:val="clear" w:color="auto" w:fill="FFFFFF"/>
            <w:vAlign w:val="center"/>
          </w:tcPr>
          <w:p w14:paraId="4FD3F294" w14:textId="77777777" w:rsidR="00425E57" w:rsidRPr="00B71D20" w:rsidRDefault="00425E57" w:rsidP="003B16DB">
            <w:pPr>
              <w:jc w:val="center"/>
              <w:rPr>
                <w:rFonts w:eastAsia="Times New Roman"/>
                <w:color w:val="000000" w:themeColor="text1"/>
              </w:rPr>
            </w:pPr>
            <w:r>
              <w:rPr>
                <w:rFonts w:eastAsia="Times New Roman"/>
                <w:color w:val="000000" w:themeColor="text1"/>
              </w:rPr>
              <w:t>3</w:t>
            </w:r>
          </w:p>
        </w:tc>
      </w:tr>
      <w:tr w:rsidR="00425E57" w:rsidRPr="00B71D20" w14:paraId="1CCC610F" w14:textId="77777777" w:rsidTr="008B562D">
        <w:trPr>
          <w:tblCellSpacing w:w="15" w:type="dxa"/>
        </w:trPr>
        <w:tc>
          <w:tcPr>
            <w:tcW w:w="318" w:type="pct"/>
            <w:shd w:val="clear" w:color="auto" w:fill="FFFFFF"/>
            <w:vAlign w:val="center"/>
          </w:tcPr>
          <w:p w14:paraId="627B70A1" w14:textId="537F28C4" w:rsidR="00425E57" w:rsidRPr="00B71D20" w:rsidRDefault="00425E57" w:rsidP="00E12B44">
            <w:pPr>
              <w:jc w:val="center"/>
              <w:rPr>
                <w:rFonts w:eastAsia="Times New Roman"/>
                <w:color w:val="000000" w:themeColor="text1"/>
              </w:rPr>
            </w:pPr>
            <w:r w:rsidRPr="00B71D20">
              <w:rPr>
                <w:rFonts w:eastAsia="Times New Roman"/>
                <w:color w:val="000000" w:themeColor="text1"/>
              </w:rPr>
              <w:t>19</w:t>
            </w:r>
          </w:p>
        </w:tc>
        <w:tc>
          <w:tcPr>
            <w:tcW w:w="309" w:type="pct"/>
            <w:shd w:val="clear" w:color="auto" w:fill="FFFFFF"/>
            <w:vAlign w:val="center"/>
          </w:tcPr>
          <w:p w14:paraId="349CBC76" w14:textId="77777777" w:rsidR="00425E57" w:rsidRPr="00B71D20" w:rsidRDefault="00425E57" w:rsidP="00E12B44">
            <w:pPr>
              <w:jc w:val="center"/>
              <w:rPr>
                <w:rFonts w:eastAsia="Times New Roman"/>
                <w:color w:val="000000" w:themeColor="text1"/>
              </w:rPr>
            </w:pPr>
            <w:r w:rsidRPr="00B71D20">
              <w:rPr>
                <w:color w:val="000000"/>
                <w:lang w:val="en-HK"/>
              </w:rPr>
              <w:t>700</w:t>
            </w:r>
          </w:p>
        </w:tc>
        <w:tc>
          <w:tcPr>
            <w:tcW w:w="2953" w:type="pct"/>
            <w:shd w:val="clear" w:color="auto" w:fill="FFFFFF"/>
            <w:vAlign w:val="center"/>
          </w:tcPr>
          <w:p w14:paraId="7BF6CAE3" w14:textId="77777777" w:rsidR="00425E57" w:rsidRPr="00B71D20" w:rsidRDefault="00425E57" w:rsidP="00E12B44">
            <w:pPr>
              <w:jc w:val="both"/>
              <w:rPr>
                <w:rFonts w:eastAsia="Times New Roman"/>
                <w:color w:val="000000" w:themeColor="text1"/>
              </w:rPr>
            </w:pPr>
            <w:proofErr w:type="spellStart"/>
            <w:r>
              <w:rPr>
                <w:color w:val="000000"/>
                <w:lang w:val="en-GB"/>
              </w:rPr>
              <w:t>Tencent</w:t>
            </w:r>
            <w:proofErr w:type="spellEnd"/>
            <w:r>
              <w:rPr>
                <w:color w:val="000000"/>
                <w:lang w:val="en-GB"/>
              </w:rPr>
              <w:t xml:space="preserve"> Holdings Ltd.</w:t>
            </w:r>
          </w:p>
        </w:tc>
        <w:tc>
          <w:tcPr>
            <w:tcW w:w="518" w:type="pct"/>
            <w:shd w:val="clear" w:color="auto" w:fill="FFFFFF"/>
          </w:tcPr>
          <w:p w14:paraId="45D2665E" w14:textId="77777777" w:rsidR="00425E57" w:rsidRDefault="00425E57" w:rsidP="00E12B44">
            <w:pPr>
              <w:jc w:val="center"/>
              <w:rPr>
                <w:rFonts w:eastAsia="Times New Roman"/>
                <w:color w:val="000000" w:themeColor="text1"/>
              </w:rPr>
            </w:pPr>
            <w:r>
              <w:rPr>
                <w:rFonts w:eastAsia="Times New Roman"/>
                <w:color w:val="000000" w:themeColor="text1"/>
              </w:rPr>
              <w:t>TCH/</w:t>
            </w:r>
          </w:p>
          <w:p w14:paraId="33AE0063" w14:textId="1EAD8C3A" w:rsidR="00425E57" w:rsidRPr="00B71D20" w:rsidRDefault="00425E57" w:rsidP="00E12B44">
            <w:pPr>
              <w:jc w:val="center"/>
              <w:rPr>
                <w:rFonts w:eastAsia="Times New Roman"/>
                <w:color w:val="000000" w:themeColor="text1"/>
              </w:rPr>
            </w:pPr>
            <w:r>
              <w:rPr>
                <w:rFonts w:eastAsia="Times New Roman"/>
                <w:color w:val="000000" w:themeColor="text1"/>
              </w:rPr>
              <w:t>TCA</w:t>
            </w:r>
            <w:r w:rsidR="00A9377F">
              <w:rPr>
                <w:rFonts w:eastAsia="Times New Roman"/>
                <w:color w:val="000000" w:themeColor="text1"/>
              </w:rPr>
              <w:t>*</w:t>
            </w:r>
          </w:p>
        </w:tc>
        <w:tc>
          <w:tcPr>
            <w:tcW w:w="491" w:type="pct"/>
            <w:shd w:val="clear" w:color="auto" w:fill="FFFFFF"/>
          </w:tcPr>
          <w:p w14:paraId="3551A072" w14:textId="77777777" w:rsidR="00425E57" w:rsidRDefault="00425E57" w:rsidP="00E12B44">
            <w:pPr>
              <w:jc w:val="center"/>
              <w:rPr>
                <w:rFonts w:eastAsia="Times New Roman"/>
                <w:color w:val="000000" w:themeColor="text1"/>
              </w:rPr>
            </w:pPr>
            <w:r>
              <w:rPr>
                <w:rFonts w:eastAsia="Times New Roman"/>
                <w:color w:val="000000" w:themeColor="text1"/>
              </w:rPr>
              <w:t>100/</w:t>
            </w:r>
          </w:p>
          <w:p w14:paraId="1784FE06" w14:textId="77777777" w:rsidR="00425E57" w:rsidRPr="00B71D20" w:rsidRDefault="00425E57" w:rsidP="00E12B44">
            <w:pPr>
              <w:jc w:val="center"/>
              <w:rPr>
                <w:rFonts w:eastAsia="Times New Roman"/>
                <w:color w:val="000000" w:themeColor="text1"/>
              </w:rPr>
            </w:pPr>
            <w:r>
              <w:rPr>
                <w:rFonts w:eastAsia="Times New Roman"/>
                <w:color w:val="000000" w:themeColor="text1"/>
              </w:rPr>
              <w:t>1,000</w:t>
            </w:r>
          </w:p>
        </w:tc>
        <w:tc>
          <w:tcPr>
            <w:tcW w:w="303" w:type="pct"/>
            <w:shd w:val="clear" w:color="auto" w:fill="FFFFFF"/>
            <w:vAlign w:val="center"/>
          </w:tcPr>
          <w:p w14:paraId="6411E007" w14:textId="77777777" w:rsidR="00425E57"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721F456B" w14:textId="77777777" w:rsidTr="008B562D">
        <w:trPr>
          <w:tblCellSpacing w:w="15" w:type="dxa"/>
        </w:trPr>
        <w:tc>
          <w:tcPr>
            <w:tcW w:w="318" w:type="pct"/>
            <w:shd w:val="clear" w:color="auto" w:fill="FFFFFF"/>
            <w:vAlign w:val="center"/>
          </w:tcPr>
          <w:p w14:paraId="67B4413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w:t>
            </w:r>
          </w:p>
        </w:tc>
        <w:tc>
          <w:tcPr>
            <w:tcW w:w="309" w:type="pct"/>
            <w:shd w:val="clear" w:color="auto" w:fill="FFFFFF"/>
            <w:vAlign w:val="center"/>
            <w:hideMark/>
          </w:tcPr>
          <w:p w14:paraId="09376AE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728</w:t>
            </w:r>
          </w:p>
        </w:tc>
        <w:tc>
          <w:tcPr>
            <w:tcW w:w="2953" w:type="pct"/>
            <w:shd w:val="clear" w:color="auto" w:fill="FFFFFF"/>
            <w:vAlign w:val="center"/>
            <w:hideMark/>
          </w:tcPr>
          <w:p w14:paraId="2E0CB3B3"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Telecom Corporation L</w:t>
            </w:r>
            <w:r>
              <w:rPr>
                <w:rFonts w:eastAsia="Times New Roman"/>
                <w:color w:val="000000" w:themeColor="text1"/>
              </w:rPr>
              <w:t>td.</w:t>
            </w:r>
          </w:p>
        </w:tc>
        <w:tc>
          <w:tcPr>
            <w:tcW w:w="518" w:type="pct"/>
            <w:shd w:val="clear" w:color="auto" w:fill="FFFFFF"/>
            <w:hideMark/>
          </w:tcPr>
          <w:p w14:paraId="3856B212" w14:textId="77777777" w:rsidR="00425E57" w:rsidRDefault="00425E57" w:rsidP="00E12B44">
            <w:pPr>
              <w:jc w:val="center"/>
              <w:rPr>
                <w:rFonts w:eastAsia="Times New Roman"/>
                <w:color w:val="000000" w:themeColor="text1"/>
              </w:rPr>
            </w:pPr>
            <w:r w:rsidRPr="00B71D20">
              <w:rPr>
                <w:rFonts w:eastAsia="Times New Roman"/>
                <w:color w:val="000000" w:themeColor="text1"/>
              </w:rPr>
              <w:t>CTC</w:t>
            </w:r>
            <w:r>
              <w:rPr>
                <w:rFonts w:eastAsia="Times New Roman"/>
                <w:color w:val="000000" w:themeColor="text1"/>
              </w:rPr>
              <w:t>/</w:t>
            </w:r>
          </w:p>
          <w:p w14:paraId="70FA206C" w14:textId="02E94F50" w:rsidR="00425E57" w:rsidRPr="00B71D20" w:rsidRDefault="00425E57" w:rsidP="00E12B44">
            <w:pPr>
              <w:jc w:val="center"/>
              <w:rPr>
                <w:rFonts w:eastAsia="Times New Roman"/>
                <w:color w:val="000000" w:themeColor="text1"/>
              </w:rPr>
            </w:pPr>
            <w:r>
              <w:rPr>
                <w:rFonts w:eastAsia="Times New Roman"/>
                <w:color w:val="000000" w:themeColor="text1"/>
              </w:rPr>
              <w:t>CTD</w:t>
            </w:r>
            <w:r w:rsidR="00A9377F">
              <w:rPr>
                <w:rFonts w:eastAsia="Times New Roman"/>
                <w:color w:val="000000" w:themeColor="text1"/>
              </w:rPr>
              <w:t>*</w:t>
            </w:r>
          </w:p>
        </w:tc>
        <w:tc>
          <w:tcPr>
            <w:tcW w:w="491" w:type="pct"/>
            <w:shd w:val="clear" w:color="auto" w:fill="FFFFFF"/>
            <w:hideMark/>
          </w:tcPr>
          <w:p w14:paraId="46BABECD" w14:textId="77777777" w:rsidR="00425E57" w:rsidRDefault="00425E57" w:rsidP="00E12B44">
            <w:pPr>
              <w:jc w:val="center"/>
              <w:rPr>
                <w:rFonts w:eastAsia="Times New Roman"/>
                <w:color w:val="000000" w:themeColor="text1"/>
              </w:rPr>
            </w:pPr>
            <w:r w:rsidRPr="00B71D20">
              <w:rPr>
                <w:rFonts w:eastAsia="Times New Roman"/>
                <w:color w:val="000000" w:themeColor="text1"/>
              </w:rPr>
              <w:t>2,000</w:t>
            </w:r>
            <w:r>
              <w:rPr>
                <w:rFonts w:eastAsia="Times New Roman"/>
                <w:color w:val="000000" w:themeColor="text1"/>
              </w:rPr>
              <w:t>/</w:t>
            </w:r>
          </w:p>
          <w:p w14:paraId="0536AA26" w14:textId="77777777" w:rsidR="00425E57" w:rsidRPr="00B71D20" w:rsidRDefault="00425E57" w:rsidP="00E12B44">
            <w:pPr>
              <w:jc w:val="center"/>
              <w:rPr>
                <w:rFonts w:eastAsia="Times New Roman"/>
                <w:color w:val="000000" w:themeColor="text1"/>
              </w:rPr>
            </w:pPr>
            <w:r>
              <w:rPr>
                <w:rFonts w:eastAsia="Times New Roman"/>
                <w:color w:val="000000" w:themeColor="text1"/>
              </w:rPr>
              <w:t>10,000</w:t>
            </w:r>
          </w:p>
        </w:tc>
        <w:tc>
          <w:tcPr>
            <w:tcW w:w="303" w:type="pct"/>
            <w:shd w:val="clear" w:color="auto" w:fill="FFFFFF"/>
          </w:tcPr>
          <w:p w14:paraId="1D2A27F5" w14:textId="77777777" w:rsidR="00425E57" w:rsidRDefault="00425E57" w:rsidP="00E12B44">
            <w:pPr>
              <w:jc w:val="center"/>
              <w:rPr>
                <w:rFonts w:eastAsia="Times New Roman"/>
                <w:color w:val="000000" w:themeColor="text1"/>
              </w:rPr>
            </w:pPr>
            <w:r>
              <w:rPr>
                <w:rFonts w:eastAsia="Times New Roman"/>
                <w:color w:val="000000" w:themeColor="text1"/>
              </w:rPr>
              <w:t>3/</w:t>
            </w:r>
          </w:p>
          <w:p w14:paraId="754BA5A9"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2C3EB605" w14:textId="77777777" w:rsidTr="008B562D">
        <w:trPr>
          <w:tblCellSpacing w:w="15" w:type="dxa"/>
        </w:trPr>
        <w:tc>
          <w:tcPr>
            <w:tcW w:w="318" w:type="pct"/>
            <w:shd w:val="clear" w:color="auto" w:fill="FFFFFF"/>
            <w:vAlign w:val="center"/>
          </w:tcPr>
          <w:p w14:paraId="34B711D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21</w:t>
            </w:r>
          </w:p>
        </w:tc>
        <w:tc>
          <w:tcPr>
            <w:tcW w:w="309" w:type="pct"/>
            <w:shd w:val="clear" w:color="auto" w:fill="FFFFFF"/>
            <w:vAlign w:val="center"/>
            <w:hideMark/>
          </w:tcPr>
          <w:p w14:paraId="6E33EAD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762</w:t>
            </w:r>
          </w:p>
        </w:tc>
        <w:tc>
          <w:tcPr>
            <w:tcW w:w="2953" w:type="pct"/>
            <w:shd w:val="clear" w:color="auto" w:fill="FFFFFF"/>
            <w:vAlign w:val="center"/>
            <w:hideMark/>
          </w:tcPr>
          <w:p w14:paraId="58C66CB0"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Unicom (Hong Kong) L</w:t>
            </w:r>
            <w:r>
              <w:rPr>
                <w:rFonts w:eastAsia="Times New Roman"/>
                <w:color w:val="000000" w:themeColor="text1"/>
              </w:rPr>
              <w:t>td.</w:t>
            </w:r>
          </w:p>
        </w:tc>
        <w:tc>
          <w:tcPr>
            <w:tcW w:w="518" w:type="pct"/>
            <w:shd w:val="clear" w:color="auto" w:fill="FFFFFF"/>
            <w:hideMark/>
          </w:tcPr>
          <w:p w14:paraId="4F44898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CHU</w:t>
            </w:r>
          </w:p>
        </w:tc>
        <w:tc>
          <w:tcPr>
            <w:tcW w:w="491" w:type="pct"/>
            <w:shd w:val="clear" w:color="auto" w:fill="FFFFFF"/>
            <w:hideMark/>
          </w:tcPr>
          <w:p w14:paraId="135E02D3"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189F2442"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779F4813" w14:textId="77777777" w:rsidTr="008B562D">
        <w:trPr>
          <w:tblCellSpacing w:w="15" w:type="dxa"/>
        </w:trPr>
        <w:tc>
          <w:tcPr>
            <w:tcW w:w="318" w:type="pct"/>
            <w:shd w:val="clear" w:color="auto" w:fill="FFFFFF"/>
            <w:vAlign w:val="center"/>
          </w:tcPr>
          <w:p w14:paraId="7CD9A093"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22</w:t>
            </w:r>
          </w:p>
        </w:tc>
        <w:tc>
          <w:tcPr>
            <w:tcW w:w="309" w:type="pct"/>
            <w:shd w:val="clear" w:color="auto" w:fill="FFFFFF"/>
            <w:vAlign w:val="center"/>
            <w:hideMark/>
          </w:tcPr>
          <w:p w14:paraId="43F2218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857</w:t>
            </w:r>
          </w:p>
        </w:tc>
        <w:tc>
          <w:tcPr>
            <w:tcW w:w="2953" w:type="pct"/>
            <w:shd w:val="clear" w:color="auto" w:fill="FFFFFF"/>
            <w:vAlign w:val="center"/>
            <w:hideMark/>
          </w:tcPr>
          <w:p w14:paraId="3AFD6175" w14:textId="77777777" w:rsidR="00425E57" w:rsidRPr="00B71D20" w:rsidRDefault="00425E57" w:rsidP="00E12B44">
            <w:pPr>
              <w:jc w:val="both"/>
              <w:rPr>
                <w:rFonts w:eastAsia="Times New Roman"/>
                <w:color w:val="000000" w:themeColor="text1"/>
              </w:rPr>
            </w:pPr>
            <w:proofErr w:type="spellStart"/>
            <w:r w:rsidRPr="00B71D20">
              <w:rPr>
                <w:rFonts w:eastAsia="Times New Roman"/>
                <w:color w:val="000000" w:themeColor="text1"/>
              </w:rPr>
              <w:t>PetroChina</w:t>
            </w:r>
            <w:proofErr w:type="spellEnd"/>
            <w:r w:rsidRPr="00B71D20">
              <w:rPr>
                <w:rFonts w:eastAsia="Times New Roman"/>
                <w:color w:val="000000" w:themeColor="text1"/>
              </w:rPr>
              <w:t xml:space="preserve"> Company L</w:t>
            </w:r>
            <w:r>
              <w:rPr>
                <w:rFonts w:eastAsia="Times New Roman"/>
                <w:color w:val="000000" w:themeColor="text1"/>
              </w:rPr>
              <w:t>td.</w:t>
            </w:r>
          </w:p>
        </w:tc>
        <w:tc>
          <w:tcPr>
            <w:tcW w:w="518" w:type="pct"/>
            <w:shd w:val="clear" w:color="auto" w:fill="FFFFFF"/>
            <w:hideMark/>
          </w:tcPr>
          <w:p w14:paraId="2590936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PEC</w:t>
            </w:r>
          </w:p>
        </w:tc>
        <w:tc>
          <w:tcPr>
            <w:tcW w:w="491" w:type="pct"/>
            <w:shd w:val="clear" w:color="auto" w:fill="FFFFFF"/>
            <w:hideMark/>
          </w:tcPr>
          <w:p w14:paraId="3674B93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36F1DC5A"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3790E5F5" w14:textId="77777777" w:rsidTr="008B562D">
        <w:trPr>
          <w:tblCellSpacing w:w="15" w:type="dxa"/>
        </w:trPr>
        <w:tc>
          <w:tcPr>
            <w:tcW w:w="318" w:type="pct"/>
            <w:shd w:val="clear" w:color="auto" w:fill="FFFFFF"/>
            <w:vAlign w:val="center"/>
          </w:tcPr>
          <w:p w14:paraId="349D09DF" w14:textId="77777777" w:rsidR="00425E57" w:rsidRPr="00B71D20" w:rsidRDefault="00425E57" w:rsidP="00E12B44">
            <w:pPr>
              <w:jc w:val="center"/>
              <w:rPr>
                <w:rFonts w:eastAsia="Times New Roman"/>
                <w:color w:val="000000" w:themeColor="text1"/>
              </w:rPr>
            </w:pPr>
            <w:r>
              <w:rPr>
                <w:rFonts w:eastAsia="Times New Roman"/>
                <w:color w:val="000000" w:themeColor="text1"/>
              </w:rPr>
              <w:t>23</w:t>
            </w:r>
          </w:p>
        </w:tc>
        <w:tc>
          <w:tcPr>
            <w:tcW w:w="309" w:type="pct"/>
            <w:shd w:val="clear" w:color="auto" w:fill="FFFFFF"/>
            <w:vAlign w:val="center"/>
          </w:tcPr>
          <w:p w14:paraId="07908B5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874</w:t>
            </w:r>
          </w:p>
        </w:tc>
        <w:tc>
          <w:tcPr>
            <w:tcW w:w="2953" w:type="pct"/>
            <w:shd w:val="clear" w:color="auto" w:fill="FFFFFF"/>
            <w:vAlign w:val="center"/>
          </w:tcPr>
          <w:p w14:paraId="4F3EBF48"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 xml:space="preserve">Guangzhou </w:t>
            </w:r>
            <w:proofErr w:type="spellStart"/>
            <w:r w:rsidRPr="00B71D20">
              <w:rPr>
                <w:rFonts w:eastAsia="Times New Roman"/>
                <w:color w:val="000000" w:themeColor="text1"/>
              </w:rPr>
              <w:t>Baiyunshan</w:t>
            </w:r>
            <w:proofErr w:type="spellEnd"/>
            <w:r w:rsidRPr="00B71D20">
              <w:rPr>
                <w:rFonts w:eastAsia="Times New Roman"/>
                <w:color w:val="000000" w:themeColor="text1"/>
              </w:rPr>
              <w:t xml:space="preserve"> Pha</w:t>
            </w:r>
            <w:r>
              <w:rPr>
                <w:rFonts w:eastAsia="Times New Roman"/>
                <w:color w:val="000000" w:themeColor="text1"/>
              </w:rPr>
              <w:t xml:space="preserve">rmaceutical Holdings Co. Ltd. </w:t>
            </w:r>
          </w:p>
        </w:tc>
        <w:tc>
          <w:tcPr>
            <w:tcW w:w="518" w:type="pct"/>
            <w:shd w:val="clear" w:color="auto" w:fill="FFFFFF"/>
          </w:tcPr>
          <w:p w14:paraId="353D00D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BAI</w:t>
            </w:r>
          </w:p>
        </w:tc>
        <w:tc>
          <w:tcPr>
            <w:tcW w:w="491" w:type="pct"/>
            <w:shd w:val="clear" w:color="auto" w:fill="FFFFFF"/>
          </w:tcPr>
          <w:p w14:paraId="005680E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119C630F"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736F9C28" w14:textId="77777777" w:rsidTr="008B562D">
        <w:trPr>
          <w:tblCellSpacing w:w="15" w:type="dxa"/>
        </w:trPr>
        <w:tc>
          <w:tcPr>
            <w:tcW w:w="318" w:type="pct"/>
            <w:shd w:val="clear" w:color="auto" w:fill="FFFFFF"/>
            <w:vAlign w:val="center"/>
            <w:hideMark/>
          </w:tcPr>
          <w:p w14:paraId="4CD2AFF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r>
              <w:rPr>
                <w:rFonts w:eastAsia="Times New Roman"/>
                <w:color w:val="000000" w:themeColor="text1"/>
              </w:rPr>
              <w:t>4</w:t>
            </w:r>
          </w:p>
        </w:tc>
        <w:tc>
          <w:tcPr>
            <w:tcW w:w="309" w:type="pct"/>
            <w:shd w:val="clear" w:color="auto" w:fill="FFFFFF"/>
            <w:vAlign w:val="center"/>
            <w:hideMark/>
          </w:tcPr>
          <w:p w14:paraId="49B673F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883</w:t>
            </w:r>
          </w:p>
        </w:tc>
        <w:tc>
          <w:tcPr>
            <w:tcW w:w="2953" w:type="pct"/>
            <w:shd w:val="clear" w:color="auto" w:fill="FFFFFF"/>
            <w:vAlign w:val="center"/>
            <w:hideMark/>
          </w:tcPr>
          <w:p w14:paraId="778BE2FB"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CNOOC L</w:t>
            </w:r>
            <w:r>
              <w:rPr>
                <w:rFonts w:eastAsia="Times New Roman"/>
                <w:color w:val="000000" w:themeColor="text1"/>
              </w:rPr>
              <w:t>td.</w:t>
            </w:r>
          </w:p>
        </w:tc>
        <w:tc>
          <w:tcPr>
            <w:tcW w:w="518" w:type="pct"/>
            <w:shd w:val="clear" w:color="auto" w:fill="FFFFFF"/>
            <w:hideMark/>
          </w:tcPr>
          <w:p w14:paraId="4C8FBAF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CNC</w:t>
            </w:r>
          </w:p>
        </w:tc>
        <w:tc>
          <w:tcPr>
            <w:tcW w:w="491" w:type="pct"/>
            <w:shd w:val="clear" w:color="auto" w:fill="FFFFFF"/>
            <w:hideMark/>
          </w:tcPr>
          <w:p w14:paraId="41051C8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7C235B39"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r w:rsidR="00425E57" w:rsidRPr="00B71D20" w14:paraId="1767FB5A" w14:textId="77777777" w:rsidTr="008B562D">
        <w:trPr>
          <w:tblCellSpacing w:w="15" w:type="dxa"/>
        </w:trPr>
        <w:tc>
          <w:tcPr>
            <w:tcW w:w="318" w:type="pct"/>
            <w:shd w:val="clear" w:color="auto" w:fill="FFFFFF"/>
            <w:vAlign w:val="center"/>
            <w:hideMark/>
          </w:tcPr>
          <w:p w14:paraId="1BC68D8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r>
              <w:rPr>
                <w:rFonts w:eastAsia="Times New Roman"/>
                <w:color w:val="000000" w:themeColor="text1"/>
              </w:rPr>
              <w:t>5</w:t>
            </w:r>
          </w:p>
        </w:tc>
        <w:tc>
          <w:tcPr>
            <w:tcW w:w="309" w:type="pct"/>
            <w:shd w:val="clear" w:color="auto" w:fill="FFFFFF"/>
            <w:vAlign w:val="center"/>
            <w:hideMark/>
          </w:tcPr>
          <w:p w14:paraId="2B2FB27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902</w:t>
            </w:r>
          </w:p>
        </w:tc>
        <w:tc>
          <w:tcPr>
            <w:tcW w:w="2953" w:type="pct"/>
            <w:shd w:val="clear" w:color="auto" w:fill="FFFFFF"/>
            <w:vAlign w:val="center"/>
            <w:hideMark/>
          </w:tcPr>
          <w:p w14:paraId="5FDEF4FE" w14:textId="77777777" w:rsidR="00425E57" w:rsidRPr="00B71D20" w:rsidRDefault="00425E57" w:rsidP="00E12B44">
            <w:pPr>
              <w:jc w:val="both"/>
              <w:rPr>
                <w:rFonts w:eastAsia="Times New Roman"/>
                <w:color w:val="000000" w:themeColor="text1"/>
              </w:rPr>
            </w:pPr>
            <w:proofErr w:type="spellStart"/>
            <w:r w:rsidRPr="00B71D20">
              <w:rPr>
                <w:rFonts w:eastAsia="Times New Roman"/>
                <w:color w:val="000000" w:themeColor="text1"/>
              </w:rPr>
              <w:t>Huaneng</w:t>
            </w:r>
            <w:proofErr w:type="spellEnd"/>
            <w:r w:rsidRPr="00B71D20">
              <w:rPr>
                <w:rFonts w:eastAsia="Times New Roman"/>
                <w:color w:val="000000" w:themeColor="text1"/>
              </w:rPr>
              <w:t xml:space="preserve"> Power International, Inc.</w:t>
            </w:r>
          </w:p>
        </w:tc>
        <w:tc>
          <w:tcPr>
            <w:tcW w:w="518" w:type="pct"/>
            <w:shd w:val="clear" w:color="auto" w:fill="FFFFFF"/>
            <w:hideMark/>
          </w:tcPr>
          <w:p w14:paraId="0769AC1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HNP</w:t>
            </w:r>
          </w:p>
        </w:tc>
        <w:tc>
          <w:tcPr>
            <w:tcW w:w="491" w:type="pct"/>
            <w:shd w:val="clear" w:color="auto" w:fill="FFFFFF"/>
            <w:hideMark/>
          </w:tcPr>
          <w:p w14:paraId="7BFB8C7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7C48FEE8"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3B6B9B44" w14:textId="77777777" w:rsidTr="008B562D">
        <w:trPr>
          <w:tblCellSpacing w:w="15" w:type="dxa"/>
        </w:trPr>
        <w:tc>
          <w:tcPr>
            <w:tcW w:w="318" w:type="pct"/>
            <w:shd w:val="clear" w:color="auto" w:fill="FFFFFF"/>
            <w:vAlign w:val="center"/>
            <w:hideMark/>
          </w:tcPr>
          <w:p w14:paraId="0B2262EC"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r>
              <w:rPr>
                <w:rFonts w:eastAsia="Times New Roman"/>
                <w:color w:val="000000" w:themeColor="text1"/>
              </w:rPr>
              <w:t>6</w:t>
            </w:r>
          </w:p>
        </w:tc>
        <w:tc>
          <w:tcPr>
            <w:tcW w:w="309" w:type="pct"/>
            <w:shd w:val="clear" w:color="auto" w:fill="FFFFFF"/>
            <w:vAlign w:val="center"/>
            <w:hideMark/>
          </w:tcPr>
          <w:p w14:paraId="4139A63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939</w:t>
            </w:r>
          </w:p>
        </w:tc>
        <w:tc>
          <w:tcPr>
            <w:tcW w:w="2953" w:type="pct"/>
            <w:shd w:val="clear" w:color="auto" w:fill="FFFFFF"/>
            <w:vAlign w:val="center"/>
            <w:hideMark/>
          </w:tcPr>
          <w:p w14:paraId="5BA970F4"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Construction Bank Corporation</w:t>
            </w:r>
          </w:p>
        </w:tc>
        <w:tc>
          <w:tcPr>
            <w:tcW w:w="518" w:type="pct"/>
            <w:shd w:val="clear" w:color="auto" w:fill="FFFFFF"/>
            <w:hideMark/>
          </w:tcPr>
          <w:p w14:paraId="0E5F219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CCB</w:t>
            </w:r>
          </w:p>
        </w:tc>
        <w:tc>
          <w:tcPr>
            <w:tcW w:w="491" w:type="pct"/>
            <w:shd w:val="clear" w:color="auto" w:fill="FFFFFF"/>
            <w:hideMark/>
          </w:tcPr>
          <w:p w14:paraId="7298C61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69F3720F"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r w:rsidR="00425E57" w:rsidRPr="00B71D20" w14:paraId="39DDEFDF" w14:textId="77777777" w:rsidTr="008B562D">
        <w:trPr>
          <w:tblCellSpacing w:w="15" w:type="dxa"/>
        </w:trPr>
        <w:tc>
          <w:tcPr>
            <w:tcW w:w="318" w:type="pct"/>
            <w:shd w:val="clear" w:color="auto" w:fill="FFFFFF"/>
            <w:vAlign w:val="center"/>
            <w:hideMark/>
          </w:tcPr>
          <w:p w14:paraId="2A30562C"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w:t>
            </w:r>
            <w:r>
              <w:rPr>
                <w:rFonts w:eastAsia="Times New Roman"/>
                <w:color w:val="000000" w:themeColor="text1"/>
              </w:rPr>
              <w:t>7</w:t>
            </w:r>
          </w:p>
        </w:tc>
        <w:tc>
          <w:tcPr>
            <w:tcW w:w="309" w:type="pct"/>
            <w:shd w:val="clear" w:color="auto" w:fill="FFFFFF"/>
            <w:vAlign w:val="center"/>
            <w:hideMark/>
          </w:tcPr>
          <w:p w14:paraId="1B66A0F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941</w:t>
            </w:r>
          </w:p>
        </w:tc>
        <w:tc>
          <w:tcPr>
            <w:tcW w:w="2953" w:type="pct"/>
            <w:shd w:val="clear" w:color="auto" w:fill="FFFFFF"/>
            <w:vAlign w:val="center"/>
            <w:hideMark/>
          </w:tcPr>
          <w:p w14:paraId="4B3ADCEE"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Mobile L</w:t>
            </w:r>
            <w:r>
              <w:rPr>
                <w:rFonts w:eastAsia="Times New Roman"/>
                <w:color w:val="000000" w:themeColor="text1"/>
              </w:rPr>
              <w:t>td.</w:t>
            </w:r>
          </w:p>
        </w:tc>
        <w:tc>
          <w:tcPr>
            <w:tcW w:w="518" w:type="pct"/>
            <w:shd w:val="clear" w:color="auto" w:fill="FFFFFF"/>
            <w:hideMark/>
          </w:tcPr>
          <w:p w14:paraId="2C3A7A31"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CHT</w:t>
            </w:r>
          </w:p>
        </w:tc>
        <w:tc>
          <w:tcPr>
            <w:tcW w:w="491" w:type="pct"/>
            <w:shd w:val="clear" w:color="auto" w:fill="FFFFFF"/>
            <w:hideMark/>
          </w:tcPr>
          <w:p w14:paraId="5A6E7A92"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5B612BE6"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1ECC6494" w14:textId="77777777" w:rsidTr="008B562D">
        <w:trPr>
          <w:tblCellSpacing w:w="15" w:type="dxa"/>
        </w:trPr>
        <w:tc>
          <w:tcPr>
            <w:tcW w:w="318" w:type="pct"/>
            <w:shd w:val="clear" w:color="auto" w:fill="FFFFFF"/>
            <w:vAlign w:val="center"/>
          </w:tcPr>
          <w:p w14:paraId="12480546" w14:textId="77777777" w:rsidR="00425E57" w:rsidRPr="00B71D20" w:rsidRDefault="00425E57" w:rsidP="00E12B44">
            <w:pPr>
              <w:jc w:val="center"/>
              <w:rPr>
                <w:rFonts w:eastAsia="Times New Roman"/>
                <w:color w:val="000000" w:themeColor="text1"/>
              </w:rPr>
            </w:pPr>
            <w:r>
              <w:rPr>
                <w:rFonts w:eastAsia="Times New Roman"/>
                <w:color w:val="000000" w:themeColor="text1"/>
              </w:rPr>
              <w:t>28</w:t>
            </w:r>
          </w:p>
        </w:tc>
        <w:tc>
          <w:tcPr>
            <w:tcW w:w="309" w:type="pct"/>
            <w:shd w:val="clear" w:color="auto" w:fill="FFFFFF"/>
            <w:vAlign w:val="center"/>
          </w:tcPr>
          <w:p w14:paraId="6FFEF7F0" w14:textId="77777777" w:rsidR="00425E57" w:rsidRPr="00B71D20" w:rsidRDefault="00425E57" w:rsidP="00E12B44">
            <w:pPr>
              <w:jc w:val="center"/>
              <w:rPr>
                <w:color w:val="000000"/>
                <w:lang w:val="en-HK"/>
              </w:rPr>
            </w:pPr>
            <w:r>
              <w:rPr>
                <w:color w:val="000000"/>
                <w:lang w:val="en-HK"/>
              </w:rPr>
              <w:t>1088</w:t>
            </w:r>
          </w:p>
        </w:tc>
        <w:tc>
          <w:tcPr>
            <w:tcW w:w="2953" w:type="pct"/>
            <w:shd w:val="clear" w:color="auto" w:fill="FFFFFF"/>
            <w:vAlign w:val="center"/>
          </w:tcPr>
          <w:p w14:paraId="237AA428" w14:textId="77777777" w:rsidR="00425E57" w:rsidRPr="00B71D20" w:rsidRDefault="00425E57" w:rsidP="00E12B44">
            <w:pPr>
              <w:jc w:val="both"/>
              <w:rPr>
                <w:color w:val="000000"/>
                <w:lang w:val="en-GB"/>
              </w:rPr>
            </w:pPr>
            <w:r>
              <w:rPr>
                <w:color w:val="000000"/>
                <w:lang w:val="en-GB"/>
              </w:rPr>
              <w:t xml:space="preserve">China </w:t>
            </w:r>
            <w:proofErr w:type="spellStart"/>
            <w:r>
              <w:rPr>
                <w:color w:val="000000"/>
                <w:lang w:val="en-GB"/>
              </w:rPr>
              <w:t>Shenhua</w:t>
            </w:r>
            <w:proofErr w:type="spellEnd"/>
            <w:r>
              <w:rPr>
                <w:color w:val="000000"/>
                <w:lang w:val="en-GB"/>
              </w:rPr>
              <w:t xml:space="preserve"> Energy Co. Ltd.</w:t>
            </w:r>
          </w:p>
        </w:tc>
        <w:tc>
          <w:tcPr>
            <w:tcW w:w="518" w:type="pct"/>
            <w:shd w:val="clear" w:color="auto" w:fill="FFFFFF"/>
            <w:vAlign w:val="center"/>
          </w:tcPr>
          <w:p w14:paraId="32F850A6" w14:textId="77777777" w:rsidR="00425E57" w:rsidRDefault="00425E57" w:rsidP="00E12B44">
            <w:pPr>
              <w:jc w:val="center"/>
              <w:rPr>
                <w:color w:val="000000"/>
                <w:lang w:val="en-HK"/>
              </w:rPr>
            </w:pPr>
            <w:r w:rsidRPr="00B71D20">
              <w:rPr>
                <w:color w:val="000000"/>
                <w:lang w:val="en-HK"/>
              </w:rPr>
              <w:t>CSE</w:t>
            </w:r>
            <w:r>
              <w:rPr>
                <w:color w:val="000000"/>
                <w:lang w:val="en-HK"/>
              </w:rPr>
              <w:t>/</w:t>
            </w:r>
          </w:p>
          <w:p w14:paraId="7B3ABA08" w14:textId="4B94530E" w:rsidR="00425E57" w:rsidRPr="00B71D20" w:rsidRDefault="00425E57" w:rsidP="00E12B44">
            <w:pPr>
              <w:jc w:val="center"/>
              <w:rPr>
                <w:color w:val="000000"/>
              </w:rPr>
            </w:pPr>
            <w:r>
              <w:rPr>
                <w:color w:val="000000"/>
                <w:lang w:val="en-HK"/>
              </w:rPr>
              <w:t>CSC</w:t>
            </w:r>
            <w:r w:rsidR="00A9377F">
              <w:rPr>
                <w:color w:val="000000"/>
                <w:lang w:val="en-HK"/>
              </w:rPr>
              <w:t>*</w:t>
            </w:r>
          </w:p>
        </w:tc>
        <w:tc>
          <w:tcPr>
            <w:tcW w:w="491" w:type="pct"/>
            <w:shd w:val="clear" w:color="auto" w:fill="FFFFFF"/>
          </w:tcPr>
          <w:p w14:paraId="16FFBAEC" w14:textId="77777777" w:rsidR="00425E57" w:rsidRDefault="00425E57" w:rsidP="00E12B44">
            <w:pPr>
              <w:jc w:val="center"/>
              <w:rPr>
                <w:rFonts w:eastAsia="Times New Roman"/>
                <w:color w:val="000000" w:themeColor="text1"/>
              </w:rPr>
            </w:pPr>
            <w:r>
              <w:rPr>
                <w:rFonts w:eastAsia="Times New Roman"/>
                <w:color w:val="000000" w:themeColor="text1"/>
              </w:rPr>
              <w:t>500/</w:t>
            </w:r>
          </w:p>
          <w:p w14:paraId="6BB2A681" w14:textId="77777777" w:rsidR="00425E57" w:rsidRDefault="00425E57" w:rsidP="00E12B44">
            <w:pPr>
              <w:jc w:val="center"/>
              <w:rPr>
                <w:rFonts w:eastAsia="Times New Roman"/>
                <w:color w:val="000000" w:themeColor="text1"/>
              </w:rPr>
            </w:pPr>
            <w:r>
              <w:rPr>
                <w:rFonts w:eastAsia="Times New Roman"/>
                <w:color w:val="000000" w:themeColor="text1"/>
              </w:rPr>
              <w:t>10,000</w:t>
            </w:r>
          </w:p>
        </w:tc>
        <w:tc>
          <w:tcPr>
            <w:tcW w:w="303" w:type="pct"/>
            <w:shd w:val="clear" w:color="auto" w:fill="FFFFFF"/>
          </w:tcPr>
          <w:p w14:paraId="3FAA9A99" w14:textId="77777777" w:rsidR="00425E57" w:rsidRDefault="00425E57" w:rsidP="00E12B44">
            <w:pPr>
              <w:jc w:val="center"/>
              <w:rPr>
                <w:rFonts w:eastAsia="Times New Roman"/>
                <w:color w:val="000000" w:themeColor="text1"/>
              </w:rPr>
            </w:pPr>
            <w:r>
              <w:rPr>
                <w:rFonts w:eastAsia="Times New Roman"/>
                <w:color w:val="000000" w:themeColor="text1"/>
              </w:rPr>
              <w:t>3/</w:t>
            </w:r>
          </w:p>
          <w:p w14:paraId="0EF9C377" w14:textId="77777777" w:rsidR="00425E57"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2E71CBD8" w14:textId="77777777" w:rsidTr="008B562D">
        <w:trPr>
          <w:tblCellSpacing w:w="15" w:type="dxa"/>
        </w:trPr>
        <w:tc>
          <w:tcPr>
            <w:tcW w:w="318" w:type="pct"/>
            <w:shd w:val="clear" w:color="auto" w:fill="FFFFFF"/>
            <w:vAlign w:val="center"/>
          </w:tcPr>
          <w:p w14:paraId="223B4C06" w14:textId="77777777" w:rsidR="00425E57" w:rsidRPr="00B71D20" w:rsidRDefault="00425E57" w:rsidP="00E12B44">
            <w:pPr>
              <w:jc w:val="center"/>
              <w:rPr>
                <w:rFonts w:eastAsia="Times New Roman"/>
                <w:color w:val="000000" w:themeColor="text1"/>
              </w:rPr>
            </w:pPr>
            <w:r>
              <w:rPr>
                <w:rFonts w:eastAsia="Times New Roman"/>
                <w:color w:val="000000" w:themeColor="text1"/>
              </w:rPr>
              <w:t>29</w:t>
            </w:r>
          </w:p>
        </w:tc>
        <w:tc>
          <w:tcPr>
            <w:tcW w:w="309" w:type="pct"/>
            <w:shd w:val="clear" w:color="auto" w:fill="FFFFFF"/>
            <w:vAlign w:val="center"/>
          </w:tcPr>
          <w:p w14:paraId="57E035E1" w14:textId="77777777" w:rsidR="00425E57" w:rsidRPr="00B71D20" w:rsidRDefault="00425E57" w:rsidP="00E12B44">
            <w:pPr>
              <w:jc w:val="center"/>
              <w:rPr>
                <w:color w:val="000000"/>
              </w:rPr>
            </w:pPr>
            <w:r w:rsidRPr="00B71D20">
              <w:rPr>
                <w:color w:val="000000"/>
                <w:lang w:val="en-HK"/>
              </w:rPr>
              <w:t>1171</w:t>
            </w:r>
          </w:p>
        </w:tc>
        <w:tc>
          <w:tcPr>
            <w:tcW w:w="2953" w:type="pct"/>
            <w:shd w:val="clear" w:color="auto" w:fill="FFFFFF"/>
            <w:vAlign w:val="center"/>
          </w:tcPr>
          <w:p w14:paraId="4F7FDF51" w14:textId="77777777" w:rsidR="00425E57" w:rsidRPr="00B71D20" w:rsidRDefault="00425E57" w:rsidP="00E12B44">
            <w:pPr>
              <w:jc w:val="both"/>
              <w:rPr>
                <w:color w:val="000000"/>
                <w:lang w:val="en-GB"/>
              </w:rPr>
            </w:pPr>
            <w:proofErr w:type="spellStart"/>
            <w:r>
              <w:rPr>
                <w:color w:val="000000"/>
                <w:lang w:val="en-GB"/>
              </w:rPr>
              <w:t>Yanzhou</w:t>
            </w:r>
            <w:proofErr w:type="spellEnd"/>
            <w:r>
              <w:rPr>
                <w:color w:val="000000"/>
                <w:lang w:val="en-GB"/>
              </w:rPr>
              <w:t xml:space="preserve"> Coal Mining Co. Ltd.</w:t>
            </w:r>
          </w:p>
        </w:tc>
        <w:tc>
          <w:tcPr>
            <w:tcW w:w="518" w:type="pct"/>
            <w:shd w:val="clear" w:color="auto" w:fill="FFFFFF"/>
            <w:vAlign w:val="center"/>
          </w:tcPr>
          <w:p w14:paraId="77A6F373" w14:textId="77777777" w:rsidR="00425E57" w:rsidRDefault="00425E57" w:rsidP="00E12B44">
            <w:pPr>
              <w:jc w:val="center"/>
              <w:rPr>
                <w:color w:val="000000"/>
                <w:lang w:val="en-HK"/>
              </w:rPr>
            </w:pPr>
            <w:r w:rsidRPr="00B71D20">
              <w:rPr>
                <w:color w:val="000000"/>
                <w:lang w:val="en-HK"/>
              </w:rPr>
              <w:t>YZC</w:t>
            </w:r>
            <w:r>
              <w:rPr>
                <w:color w:val="000000"/>
                <w:lang w:val="en-HK"/>
              </w:rPr>
              <w:t>/</w:t>
            </w:r>
          </w:p>
          <w:p w14:paraId="5AD6787D" w14:textId="14431343" w:rsidR="00425E57" w:rsidRPr="00B71D20" w:rsidRDefault="00F42AE4">
            <w:pPr>
              <w:jc w:val="center"/>
              <w:rPr>
                <w:color w:val="000000"/>
              </w:rPr>
            </w:pPr>
            <w:r>
              <w:rPr>
                <w:color w:val="000000"/>
                <w:lang w:val="en-HK"/>
              </w:rPr>
              <w:t>YZA</w:t>
            </w:r>
            <w:r w:rsidR="00A9377F">
              <w:rPr>
                <w:color w:val="000000"/>
                <w:lang w:val="en-HK"/>
              </w:rPr>
              <w:t>*</w:t>
            </w:r>
          </w:p>
        </w:tc>
        <w:tc>
          <w:tcPr>
            <w:tcW w:w="491" w:type="pct"/>
            <w:shd w:val="clear" w:color="auto" w:fill="FFFFFF"/>
          </w:tcPr>
          <w:p w14:paraId="70D93B09" w14:textId="77777777" w:rsidR="00425E57" w:rsidRDefault="00425E57" w:rsidP="00E12B44">
            <w:pPr>
              <w:jc w:val="center"/>
              <w:rPr>
                <w:rFonts w:eastAsia="Times New Roman"/>
                <w:color w:val="000000" w:themeColor="text1"/>
              </w:rPr>
            </w:pPr>
            <w:r>
              <w:rPr>
                <w:rFonts w:eastAsia="Times New Roman"/>
                <w:color w:val="000000" w:themeColor="text1"/>
              </w:rPr>
              <w:t>2,000/</w:t>
            </w:r>
          </w:p>
          <w:p w14:paraId="58BAAA20" w14:textId="77777777" w:rsidR="00425E57" w:rsidRPr="00B71D20" w:rsidRDefault="00425E57" w:rsidP="00E12B44">
            <w:pPr>
              <w:jc w:val="center"/>
              <w:rPr>
                <w:rFonts w:eastAsia="Times New Roman"/>
                <w:color w:val="000000" w:themeColor="text1"/>
              </w:rPr>
            </w:pPr>
            <w:r>
              <w:rPr>
                <w:rFonts w:eastAsia="Times New Roman"/>
                <w:color w:val="000000" w:themeColor="text1"/>
              </w:rPr>
              <w:t>10,000</w:t>
            </w:r>
          </w:p>
        </w:tc>
        <w:tc>
          <w:tcPr>
            <w:tcW w:w="303" w:type="pct"/>
            <w:shd w:val="clear" w:color="auto" w:fill="FFFFFF"/>
          </w:tcPr>
          <w:p w14:paraId="0C1D7002" w14:textId="77777777" w:rsidR="00425E57" w:rsidRDefault="00425E57" w:rsidP="00E12B44">
            <w:pPr>
              <w:jc w:val="center"/>
              <w:rPr>
                <w:rFonts w:eastAsia="Times New Roman"/>
                <w:color w:val="000000" w:themeColor="text1"/>
              </w:rPr>
            </w:pPr>
            <w:r>
              <w:rPr>
                <w:rFonts w:eastAsia="Times New Roman"/>
                <w:color w:val="000000" w:themeColor="text1"/>
              </w:rPr>
              <w:t>2/</w:t>
            </w:r>
          </w:p>
          <w:p w14:paraId="605EC328" w14:textId="77777777" w:rsidR="00425E57"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7E6CF9DE" w14:textId="77777777" w:rsidTr="008B562D">
        <w:trPr>
          <w:tblCellSpacing w:w="15" w:type="dxa"/>
        </w:trPr>
        <w:tc>
          <w:tcPr>
            <w:tcW w:w="318" w:type="pct"/>
            <w:shd w:val="clear" w:color="auto" w:fill="FFFFFF"/>
            <w:vAlign w:val="center"/>
            <w:hideMark/>
          </w:tcPr>
          <w:p w14:paraId="5EA5F00A" w14:textId="77777777" w:rsidR="00425E57" w:rsidRPr="00B71D20" w:rsidRDefault="00425E57" w:rsidP="00E12B44">
            <w:pPr>
              <w:jc w:val="center"/>
              <w:rPr>
                <w:rFonts w:eastAsia="Times New Roman"/>
                <w:color w:val="000000" w:themeColor="text1"/>
              </w:rPr>
            </w:pPr>
            <w:r>
              <w:rPr>
                <w:rFonts w:eastAsia="Times New Roman"/>
                <w:color w:val="000000" w:themeColor="text1"/>
              </w:rPr>
              <w:t>30</w:t>
            </w:r>
          </w:p>
        </w:tc>
        <w:tc>
          <w:tcPr>
            <w:tcW w:w="309" w:type="pct"/>
            <w:shd w:val="clear" w:color="auto" w:fill="FFFFFF"/>
            <w:vAlign w:val="center"/>
            <w:hideMark/>
          </w:tcPr>
          <w:p w14:paraId="1EF68FE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1398</w:t>
            </w:r>
          </w:p>
        </w:tc>
        <w:tc>
          <w:tcPr>
            <w:tcW w:w="2953" w:type="pct"/>
            <w:shd w:val="clear" w:color="auto" w:fill="FFFFFF"/>
            <w:vAlign w:val="center"/>
            <w:hideMark/>
          </w:tcPr>
          <w:p w14:paraId="73FBED8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Industrial and Co</w:t>
            </w:r>
            <w:r>
              <w:rPr>
                <w:rFonts w:eastAsia="Times New Roman"/>
                <w:color w:val="000000" w:themeColor="text1"/>
              </w:rPr>
              <w:t>mmercial Bank of China Ltd.</w:t>
            </w:r>
          </w:p>
        </w:tc>
        <w:tc>
          <w:tcPr>
            <w:tcW w:w="518" w:type="pct"/>
            <w:shd w:val="clear" w:color="auto" w:fill="FFFFFF"/>
            <w:hideMark/>
          </w:tcPr>
          <w:p w14:paraId="22D3647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ICB</w:t>
            </w:r>
          </w:p>
        </w:tc>
        <w:tc>
          <w:tcPr>
            <w:tcW w:w="491" w:type="pct"/>
            <w:shd w:val="clear" w:color="auto" w:fill="FFFFFF"/>
            <w:hideMark/>
          </w:tcPr>
          <w:p w14:paraId="22C2647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16957317"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r w:rsidR="00425E57" w:rsidRPr="00B71D20" w14:paraId="621CDE7F" w14:textId="77777777" w:rsidTr="008B562D">
        <w:trPr>
          <w:tblCellSpacing w:w="15" w:type="dxa"/>
        </w:trPr>
        <w:tc>
          <w:tcPr>
            <w:tcW w:w="318" w:type="pct"/>
            <w:shd w:val="clear" w:color="auto" w:fill="FFFFFF"/>
            <w:vAlign w:val="center"/>
            <w:hideMark/>
          </w:tcPr>
          <w:p w14:paraId="35BAA28D" w14:textId="77777777" w:rsidR="00425E57" w:rsidRPr="00B71D20" w:rsidRDefault="00425E57" w:rsidP="00E12B44">
            <w:pPr>
              <w:jc w:val="center"/>
              <w:rPr>
                <w:rFonts w:eastAsia="Times New Roman"/>
                <w:color w:val="000000" w:themeColor="text1"/>
              </w:rPr>
            </w:pPr>
            <w:r>
              <w:rPr>
                <w:rFonts w:eastAsia="Times New Roman"/>
                <w:color w:val="000000" w:themeColor="text1"/>
              </w:rPr>
              <w:t>31</w:t>
            </w:r>
          </w:p>
        </w:tc>
        <w:tc>
          <w:tcPr>
            <w:tcW w:w="309" w:type="pct"/>
            <w:shd w:val="clear" w:color="auto" w:fill="FFFFFF"/>
            <w:vAlign w:val="center"/>
            <w:hideMark/>
          </w:tcPr>
          <w:p w14:paraId="53FABA16"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1800</w:t>
            </w:r>
          </w:p>
        </w:tc>
        <w:tc>
          <w:tcPr>
            <w:tcW w:w="2953" w:type="pct"/>
            <w:shd w:val="clear" w:color="auto" w:fill="FFFFFF"/>
            <w:vAlign w:val="center"/>
            <w:hideMark/>
          </w:tcPr>
          <w:p w14:paraId="54C1C70A"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Communications Construction Company L</w:t>
            </w:r>
            <w:r>
              <w:rPr>
                <w:rFonts w:eastAsia="Times New Roman"/>
                <w:color w:val="000000" w:themeColor="text1"/>
              </w:rPr>
              <w:t>td.</w:t>
            </w:r>
          </w:p>
        </w:tc>
        <w:tc>
          <w:tcPr>
            <w:tcW w:w="518" w:type="pct"/>
            <w:shd w:val="clear" w:color="auto" w:fill="FFFFFF"/>
            <w:hideMark/>
          </w:tcPr>
          <w:p w14:paraId="28FDBDC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CCC</w:t>
            </w:r>
          </w:p>
        </w:tc>
        <w:tc>
          <w:tcPr>
            <w:tcW w:w="491" w:type="pct"/>
            <w:shd w:val="clear" w:color="auto" w:fill="FFFFFF"/>
            <w:hideMark/>
          </w:tcPr>
          <w:p w14:paraId="29671BEB"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73A6D3EB"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188C9157" w14:textId="77777777" w:rsidTr="008B562D">
        <w:trPr>
          <w:tblCellSpacing w:w="15" w:type="dxa"/>
        </w:trPr>
        <w:tc>
          <w:tcPr>
            <w:tcW w:w="318" w:type="pct"/>
            <w:shd w:val="clear" w:color="auto" w:fill="FFFFFF"/>
            <w:vAlign w:val="center"/>
            <w:hideMark/>
          </w:tcPr>
          <w:p w14:paraId="08909F35" w14:textId="77777777" w:rsidR="00425E57" w:rsidRPr="00B71D20" w:rsidRDefault="00425E57" w:rsidP="00E12B44">
            <w:pPr>
              <w:jc w:val="center"/>
              <w:rPr>
                <w:rFonts w:eastAsia="Times New Roman"/>
                <w:color w:val="000000" w:themeColor="text1"/>
              </w:rPr>
            </w:pPr>
            <w:r>
              <w:rPr>
                <w:rFonts w:eastAsia="Times New Roman"/>
                <w:color w:val="000000" w:themeColor="text1"/>
              </w:rPr>
              <w:t>32</w:t>
            </w:r>
          </w:p>
        </w:tc>
        <w:tc>
          <w:tcPr>
            <w:tcW w:w="309" w:type="pct"/>
            <w:shd w:val="clear" w:color="auto" w:fill="FFFFFF"/>
            <w:vAlign w:val="center"/>
            <w:hideMark/>
          </w:tcPr>
          <w:p w14:paraId="2F386B67" w14:textId="77777777" w:rsidR="00425E57" w:rsidRPr="00B71D20" w:rsidRDefault="00425E57" w:rsidP="00E12B44">
            <w:pPr>
              <w:jc w:val="center"/>
              <w:rPr>
                <w:rFonts w:eastAsia="Times New Roman"/>
                <w:color w:val="000000" w:themeColor="text1"/>
              </w:rPr>
            </w:pPr>
            <w:r>
              <w:rPr>
                <w:rFonts w:eastAsia="Times New Roman"/>
                <w:color w:val="000000" w:themeColor="text1"/>
              </w:rPr>
              <w:t>1898</w:t>
            </w:r>
          </w:p>
        </w:tc>
        <w:tc>
          <w:tcPr>
            <w:tcW w:w="2953" w:type="pct"/>
            <w:shd w:val="clear" w:color="auto" w:fill="FFFFFF"/>
            <w:vAlign w:val="center"/>
            <w:hideMark/>
          </w:tcPr>
          <w:p w14:paraId="227D1C45" w14:textId="77777777" w:rsidR="00425E57" w:rsidRPr="00B71D20" w:rsidRDefault="00425E57" w:rsidP="00E12B44">
            <w:pPr>
              <w:jc w:val="both"/>
              <w:rPr>
                <w:color w:val="000000"/>
                <w:lang w:val="en-GB"/>
              </w:rPr>
            </w:pPr>
            <w:r>
              <w:rPr>
                <w:color w:val="000000"/>
                <w:lang w:val="en-GB"/>
              </w:rPr>
              <w:t>China Coal Energy Co. Ltd.</w:t>
            </w:r>
          </w:p>
        </w:tc>
        <w:tc>
          <w:tcPr>
            <w:tcW w:w="518" w:type="pct"/>
            <w:shd w:val="clear" w:color="auto" w:fill="FFFFFF"/>
            <w:vAlign w:val="center"/>
            <w:hideMark/>
          </w:tcPr>
          <w:p w14:paraId="34B25257" w14:textId="77777777" w:rsidR="00425E57" w:rsidRDefault="00425E57" w:rsidP="00E12B44">
            <w:pPr>
              <w:jc w:val="center"/>
              <w:rPr>
                <w:color w:val="000000"/>
                <w:lang w:val="en-HK"/>
              </w:rPr>
            </w:pPr>
            <w:r w:rsidRPr="00B71D20">
              <w:rPr>
                <w:color w:val="000000"/>
                <w:lang w:val="en-HK"/>
              </w:rPr>
              <w:t>CCE</w:t>
            </w:r>
            <w:r>
              <w:rPr>
                <w:color w:val="000000"/>
                <w:lang w:val="en-HK"/>
              </w:rPr>
              <w:t>/</w:t>
            </w:r>
          </w:p>
          <w:p w14:paraId="380DB430" w14:textId="6C46AD48" w:rsidR="00425E57" w:rsidRPr="00B71D20" w:rsidRDefault="00425E57" w:rsidP="00E12B44">
            <w:pPr>
              <w:jc w:val="center"/>
              <w:rPr>
                <w:color w:val="000000"/>
              </w:rPr>
            </w:pPr>
            <w:r>
              <w:rPr>
                <w:color w:val="000000"/>
                <w:lang w:val="en-HK"/>
              </w:rPr>
              <w:t>CCD</w:t>
            </w:r>
            <w:r w:rsidR="00A9377F">
              <w:rPr>
                <w:color w:val="000000"/>
                <w:lang w:val="en-HK"/>
              </w:rPr>
              <w:t>*</w:t>
            </w:r>
          </w:p>
        </w:tc>
        <w:tc>
          <w:tcPr>
            <w:tcW w:w="491" w:type="pct"/>
            <w:shd w:val="clear" w:color="auto" w:fill="FFFFFF"/>
            <w:hideMark/>
          </w:tcPr>
          <w:p w14:paraId="00C67473" w14:textId="77777777" w:rsidR="00425E57" w:rsidRDefault="00425E57" w:rsidP="00E12B44">
            <w:pPr>
              <w:jc w:val="center"/>
              <w:rPr>
                <w:rFonts w:eastAsia="Times New Roman"/>
                <w:color w:val="000000" w:themeColor="text1"/>
              </w:rPr>
            </w:pPr>
            <w:r w:rsidRPr="00B71D20">
              <w:rPr>
                <w:rFonts w:eastAsia="Times New Roman"/>
                <w:color w:val="000000" w:themeColor="text1"/>
              </w:rPr>
              <w:t>1,000</w:t>
            </w:r>
            <w:r>
              <w:rPr>
                <w:rFonts w:eastAsia="Times New Roman"/>
                <w:color w:val="000000" w:themeColor="text1"/>
              </w:rPr>
              <w:t>/</w:t>
            </w:r>
          </w:p>
          <w:p w14:paraId="586E1F8A" w14:textId="77777777" w:rsidR="00425E57" w:rsidRPr="00B71D20" w:rsidRDefault="00425E57" w:rsidP="00E12B44">
            <w:pPr>
              <w:jc w:val="center"/>
              <w:rPr>
                <w:rFonts w:eastAsia="Times New Roman"/>
                <w:color w:val="000000" w:themeColor="text1"/>
              </w:rPr>
            </w:pPr>
            <w:r>
              <w:rPr>
                <w:rFonts w:eastAsia="Times New Roman"/>
                <w:color w:val="000000" w:themeColor="text1"/>
              </w:rPr>
              <w:t>10,000</w:t>
            </w:r>
          </w:p>
        </w:tc>
        <w:tc>
          <w:tcPr>
            <w:tcW w:w="303" w:type="pct"/>
            <w:shd w:val="clear" w:color="auto" w:fill="FFFFFF"/>
          </w:tcPr>
          <w:p w14:paraId="13BCE114" w14:textId="77777777" w:rsidR="00425E57" w:rsidRDefault="00425E57" w:rsidP="00E12B44">
            <w:pPr>
              <w:jc w:val="center"/>
              <w:rPr>
                <w:rFonts w:eastAsia="Times New Roman"/>
                <w:color w:val="000000" w:themeColor="text1"/>
              </w:rPr>
            </w:pPr>
            <w:r>
              <w:rPr>
                <w:rFonts w:eastAsia="Times New Roman"/>
                <w:color w:val="000000" w:themeColor="text1"/>
              </w:rPr>
              <w:t>3/</w:t>
            </w:r>
          </w:p>
          <w:p w14:paraId="50138971"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6E861BE0" w14:textId="77777777" w:rsidTr="008B562D">
        <w:trPr>
          <w:tblCellSpacing w:w="15" w:type="dxa"/>
        </w:trPr>
        <w:tc>
          <w:tcPr>
            <w:tcW w:w="318" w:type="pct"/>
            <w:shd w:val="clear" w:color="auto" w:fill="FFFFFF"/>
            <w:vAlign w:val="center"/>
            <w:hideMark/>
          </w:tcPr>
          <w:p w14:paraId="63B06F8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3</w:t>
            </w:r>
          </w:p>
        </w:tc>
        <w:tc>
          <w:tcPr>
            <w:tcW w:w="309" w:type="pct"/>
            <w:shd w:val="clear" w:color="auto" w:fill="FFFFFF"/>
            <w:vAlign w:val="center"/>
            <w:hideMark/>
          </w:tcPr>
          <w:p w14:paraId="02B44FD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2318</w:t>
            </w:r>
          </w:p>
        </w:tc>
        <w:tc>
          <w:tcPr>
            <w:tcW w:w="2953" w:type="pct"/>
            <w:shd w:val="clear" w:color="auto" w:fill="FFFFFF"/>
            <w:vAlign w:val="center"/>
            <w:hideMark/>
          </w:tcPr>
          <w:p w14:paraId="5A688A61"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Ping An Insurance (Group) Company of China, Ltd.</w:t>
            </w:r>
          </w:p>
        </w:tc>
        <w:tc>
          <w:tcPr>
            <w:tcW w:w="518" w:type="pct"/>
            <w:shd w:val="clear" w:color="auto" w:fill="FFFFFF"/>
            <w:hideMark/>
          </w:tcPr>
          <w:p w14:paraId="779194D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PAI</w:t>
            </w:r>
          </w:p>
        </w:tc>
        <w:tc>
          <w:tcPr>
            <w:tcW w:w="491" w:type="pct"/>
            <w:shd w:val="clear" w:color="auto" w:fill="FFFFFF"/>
            <w:hideMark/>
          </w:tcPr>
          <w:p w14:paraId="2706DDC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4D7722FD"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5043A7E0" w14:textId="77777777" w:rsidTr="003B16DB">
        <w:trPr>
          <w:tblCellSpacing w:w="15" w:type="dxa"/>
        </w:trPr>
        <w:tc>
          <w:tcPr>
            <w:tcW w:w="318" w:type="pct"/>
            <w:shd w:val="clear" w:color="auto" w:fill="FFFFFF"/>
            <w:vAlign w:val="center"/>
            <w:hideMark/>
          </w:tcPr>
          <w:p w14:paraId="29E843A8"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4</w:t>
            </w:r>
          </w:p>
        </w:tc>
        <w:tc>
          <w:tcPr>
            <w:tcW w:w="309" w:type="pct"/>
            <w:shd w:val="clear" w:color="auto" w:fill="FFFFFF"/>
            <w:vAlign w:val="center"/>
            <w:hideMark/>
          </w:tcPr>
          <w:p w14:paraId="4E78516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2328</w:t>
            </w:r>
          </w:p>
        </w:tc>
        <w:tc>
          <w:tcPr>
            <w:tcW w:w="2953" w:type="pct"/>
            <w:shd w:val="clear" w:color="auto" w:fill="FFFFFF"/>
            <w:vAlign w:val="center"/>
            <w:hideMark/>
          </w:tcPr>
          <w:p w14:paraId="78D8DB26"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PICC Property and Casualty Company L</w:t>
            </w:r>
            <w:r>
              <w:rPr>
                <w:rFonts w:eastAsia="Times New Roman"/>
                <w:color w:val="000000" w:themeColor="text1"/>
              </w:rPr>
              <w:t>td.</w:t>
            </w:r>
          </w:p>
        </w:tc>
        <w:tc>
          <w:tcPr>
            <w:tcW w:w="518" w:type="pct"/>
            <w:shd w:val="clear" w:color="auto" w:fill="FFFFFF"/>
            <w:hideMark/>
          </w:tcPr>
          <w:p w14:paraId="6568EE69" w14:textId="77777777" w:rsidR="00425E57" w:rsidRDefault="00425E57" w:rsidP="00E12B44">
            <w:pPr>
              <w:jc w:val="center"/>
              <w:rPr>
                <w:rFonts w:eastAsia="Times New Roman"/>
                <w:color w:val="000000" w:themeColor="text1"/>
              </w:rPr>
            </w:pPr>
            <w:r w:rsidRPr="00B71D20">
              <w:rPr>
                <w:rFonts w:eastAsia="Times New Roman"/>
                <w:color w:val="000000" w:themeColor="text1"/>
              </w:rPr>
              <w:t>PIC</w:t>
            </w:r>
            <w:r w:rsidR="003B16DB">
              <w:rPr>
                <w:rFonts w:eastAsia="Times New Roman"/>
                <w:color w:val="000000" w:themeColor="text1"/>
              </w:rPr>
              <w:t>/</w:t>
            </w:r>
          </w:p>
          <w:p w14:paraId="325C3A1D" w14:textId="5BDCD371" w:rsidR="003B16DB" w:rsidRPr="00B71D20" w:rsidRDefault="003B16DB" w:rsidP="00E12B44">
            <w:pPr>
              <w:jc w:val="center"/>
              <w:rPr>
                <w:rFonts w:eastAsia="Times New Roman"/>
                <w:color w:val="000000" w:themeColor="text1"/>
              </w:rPr>
            </w:pPr>
            <w:r>
              <w:rPr>
                <w:rFonts w:eastAsia="Times New Roman"/>
                <w:color w:val="000000" w:themeColor="text1"/>
              </w:rPr>
              <w:t>PIA*</w:t>
            </w:r>
          </w:p>
        </w:tc>
        <w:tc>
          <w:tcPr>
            <w:tcW w:w="491" w:type="pct"/>
            <w:shd w:val="clear" w:color="auto" w:fill="FFFFFF"/>
            <w:hideMark/>
          </w:tcPr>
          <w:p w14:paraId="41A87D14" w14:textId="77777777" w:rsidR="00425E57" w:rsidRDefault="00425E57" w:rsidP="00E12B44">
            <w:pPr>
              <w:jc w:val="center"/>
              <w:rPr>
                <w:rFonts w:eastAsia="Times New Roman"/>
                <w:color w:val="000000" w:themeColor="text1"/>
              </w:rPr>
            </w:pPr>
            <w:r w:rsidRPr="00B71D20">
              <w:rPr>
                <w:rFonts w:eastAsia="Times New Roman"/>
                <w:color w:val="000000" w:themeColor="text1"/>
              </w:rPr>
              <w:t>2,000</w:t>
            </w:r>
            <w:r w:rsidR="003B16DB">
              <w:rPr>
                <w:rFonts w:eastAsia="Times New Roman"/>
                <w:color w:val="000000" w:themeColor="text1"/>
              </w:rPr>
              <w:t>/</w:t>
            </w:r>
          </w:p>
          <w:p w14:paraId="172E4760" w14:textId="7D3487A5" w:rsidR="003B16DB" w:rsidRPr="00B71D20" w:rsidRDefault="003B16DB" w:rsidP="00E12B44">
            <w:pPr>
              <w:jc w:val="center"/>
              <w:rPr>
                <w:rFonts w:eastAsia="Times New Roman"/>
                <w:color w:val="000000" w:themeColor="text1"/>
              </w:rPr>
            </w:pPr>
            <w:r>
              <w:rPr>
                <w:rFonts w:eastAsia="Times New Roman"/>
                <w:color w:val="000000" w:themeColor="text1"/>
              </w:rPr>
              <w:t>~2,998</w:t>
            </w:r>
          </w:p>
        </w:tc>
        <w:tc>
          <w:tcPr>
            <w:tcW w:w="303" w:type="pct"/>
            <w:shd w:val="clear" w:color="auto" w:fill="FFFFFF"/>
            <w:vAlign w:val="center"/>
          </w:tcPr>
          <w:p w14:paraId="6574E35F" w14:textId="77777777" w:rsidR="00425E57" w:rsidRPr="00B71D20" w:rsidRDefault="00425E57" w:rsidP="003B16DB">
            <w:pPr>
              <w:jc w:val="center"/>
              <w:rPr>
                <w:rFonts w:eastAsia="Times New Roman"/>
                <w:color w:val="000000" w:themeColor="text1"/>
              </w:rPr>
            </w:pPr>
            <w:r>
              <w:rPr>
                <w:rFonts w:eastAsia="Times New Roman"/>
                <w:color w:val="000000" w:themeColor="text1"/>
              </w:rPr>
              <w:t>1</w:t>
            </w:r>
          </w:p>
        </w:tc>
      </w:tr>
      <w:tr w:rsidR="00425E57" w:rsidRPr="00B71D20" w14:paraId="190D1476" w14:textId="77777777" w:rsidTr="008B562D">
        <w:trPr>
          <w:tblCellSpacing w:w="15" w:type="dxa"/>
        </w:trPr>
        <w:tc>
          <w:tcPr>
            <w:tcW w:w="318" w:type="pct"/>
            <w:shd w:val="clear" w:color="auto" w:fill="FFFFFF"/>
            <w:vAlign w:val="center"/>
            <w:hideMark/>
          </w:tcPr>
          <w:p w14:paraId="4E8C1996" w14:textId="77D338BC"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5</w:t>
            </w:r>
          </w:p>
        </w:tc>
        <w:tc>
          <w:tcPr>
            <w:tcW w:w="309" w:type="pct"/>
            <w:shd w:val="clear" w:color="auto" w:fill="FFFFFF"/>
            <w:vAlign w:val="center"/>
            <w:hideMark/>
          </w:tcPr>
          <w:p w14:paraId="6FBE67D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2388</w:t>
            </w:r>
          </w:p>
        </w:tc>
        <w:tc>
          <w:tcPr>
            <w:tcW w:w="2953" w:type="pct"/>
            <w:shd w:val="clear" w:color="auto" w:fill="FFFFFF"/>
            <w:vAlign w:val="center"/>
            <w:hideMark/>
          </w:tcPr>
          <w:p w14:paraId="76A23622"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BOC Hong Kong (Holdings) L</w:t>
            </w:r>
            <w:r>
              <w:rPr>
                <w:rFonts w:eastAsia="Times New Roman"/>
                <w:color w:val="000000" w:themeColor="text1"/>
              </w:rPr>
              <w:t>td.</w:t>
            </w:r>
          </w:p>
        </w:tc>
        <w:tc>
          <w:tcPr>
            <w:tcW w:w="518" w:type="pct"/>
            <w:shd w:val="clear" w:color="auto" w:fill="FFFFFF"/>
            <w:hideMark/>
          </w:tcPr>
          <w:p w14:paraId="4803BBCC"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BOC</w:t>
            </w:r>
          </w:p>
        </w:tc>
        <w:tc>
          <w:tcPr>
            <w:tcW w:w="491" w:type="pct"/>
            <w:shd w:val="clear" w:color="auto" w:fill="FFFFFF"/>
            <w:hideMark/>
          </w:tcPr>
          <w:p w14:paraId="52486E47"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3FBB8C95"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2EA8180F" w14:textId="77777777" w:rsidTr="008B562D">
        <w:trPr>
          <w:tblCellSpacing w:w="15" w:type="dxa"/>
        </w:trPr>
        <w:tc>
          <w:tcPr>
            <w:tcW w:w="318" w:type="pct"/>
            <w:shd w:val="clear" w:color="auto" w:fill="FFFFFF"/>
            <w:vAlign w:val="center"/>
            <w:hideMark/>
          </w:tcPr>
          <w:p w14:paraId="25D6AEA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6</w:t>
            </w:r>
          </w:p>
        </w:tc>
        <w:tc>
          <w:tcPr>
            <w:tcW w:w="309" w:type="pct"/>
            <w:shd w:val="clear" w:color="auto" w:fill="FFFFFF"/>
            <w:vAlign w:val="center"/>
            <w:hideMark/>
          </w:tcPr>
          <w:p w14:paraId="37F76149"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2600</w:t>
            </w:r>
          </w:p>
        </w:tc>
        <w:tc>
          <w:tcPr>
            <w:tcW w:w="2953" w:type="pct"/>
            <w:shd w:val="clear" w:color="auto" w:fill="FFFFFF"/>
            <w:vAlign w:val="center"/>
            <w:hideMark/>
          </w:tcPr>
          <w:p w14:paraId="285C09D5"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Aluminum Corporation of China L</w:t>
            </w:r>
            <w:r>
              <w:rPr>
                <w:rFonts w:eastAsia="Times New Roman"/>
                <w:color w:val="000000" w:themeColor="text1"/>
              </w:rPr>
              <w:t>td.</w:t>
            </w:r>
          </w:p>
        </w:tc>
        <w:tc>
          <w:tcPr>
            <w:tcW w:w="518" w:type="pct"/>
            <w:shd w:val="clear" w:color="auto" w:fill="FFFFFF"/>
            <w:hideMark/>
          </w:tcPr>
          <w:p w14:paraId="6DF201D3"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ALC</w:t>
            </w:r>
          </w:p>
        </w:tc>
        <w:tc>
          <w:tcPr>
            <w:tcW w:w="491" w:type="pct"/>
            <w:shd w:val="clear" w:color="auto" w:fill="FFFFFF"/>
            <w:hideMark/>
          </w:tcPr>
          <w:p w14:paraId="783CE67F"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2,000</w:t>
            </w:r>
          </w:p>
        </w:tc>
        <w:tc>
          <w:tcPr>
            <w:tcW w:w="303" w:type="pct"/>
            <w:shd w:val="clear" w:color="auto" w:fill="FFFFFF"/>
          </w:tcPr>
          <w:p w14:paraId="53639716"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66F98E4A" w14:textId="77777777" w:rsidTr="008B562D">
        <w:trPr>
          <w:tblCellSpacing w:w="15" w:type="dxa"/>
        </w:trPr>
        <w:tc>
          <w:tcPr>
            <w:tcW w:w="318" w:type="pct"/>
            <w:shd w:val="clear" w:color="auto" w:fill="FFFFFF"/>
            <w:vAlign w:val="center"/>
            <w:hideMark/>
          </w:tcPr>
          <w:p w14:paraId="01AFD4F7"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7</w:t>
            </w:r>
          </w:p>
        </w:tc>
        <w:tc>
          <w:tcPr>
            <w:tcW w:w="309" w:type="pct"/>
            <w:shd w:val="clear" w:color="auto" w:fill="FFFFFF"/>
            <w:vAlign w:val="center"/>
            <w:hideMark/>
          </w:tcPr>
          <w:p w14:paraId="5189AF38"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2628</w:t>
            </w:r>
          </w:p>
        </w:tc>
        <w:tc>
          <w:tcPr>
            <w:tcW w:w="2953" w:type="pct"/>
            <w:shd w:val="clear" w:color="auto" w:fill="FFFFFF"/>
            <w:vAlign w:val="center"/>
            <w:hideMark/>
          </w:tcPr>
          <w:p w14:paraId="2A13C69F"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Life Insurance Company L</w:t>
            </w:r>
            <w:r>
              <w:rPr>
                <w:rFonts w:eastAsia="Times New Roman"/>
                <w:color w:val="000000" w:themeColor="text1"/>
              </w:rPr>
              <w:t>td.</w:t>
            </w:r>
          </w:p>
        </w:tc>
        <w:tc>
          <w:tcPr>
            <w:tcW w:w="518" w:type="pct"/>
            <w:shd w:val="clear" w:color="auto" w:fill="FFFFFF"/>
            <w:hideMark/>
          </w:tcPr>
          <w:p w14:paraId="53B792FC"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CLI</w:t>
            </w:r>
          </w:p>
        </w:tc>
        <w:tc>
          <w:tcPr>
            <w:tcW w:w="491" w:type="pct"/>
            <w:shd w:val="clear" w:color="auto" w:fill="FFFFFF"/>
            <w:hideMark/>
          </w:tcPr>
          <w:p w14:paraId="448EA37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2F22D95D"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37DD6F20" w14:textId="77777777" w:rsidTr="008B562D">
        <w:trPr>
          <w:tblCellSpacing w:w="15" w:type="dxa"/>
        </w:trPr>
        <w:tc>
          <w:tcPr>
            <w:tcW w:w="318" w:type="pct"/>
            <w:shd w:val="clear" w:color="auto" w:fill="FFFFFF"/>
            <w:vAlign w:val="center"/>
          </w:tcPr>
          <w:p w14:paraId="0ED48DFE" w14:textId="77777777" w:rsidR="00425E57" w:rsidRPr="00B71D20" w:rsidRDefault="00425E57" w:rsidP="00E12B44">
            <w:pPr>
              <w:jc w:val="center"/>
              <w:rPr>
                <w:rFonts w:eastAsia="Times New Roman"/>
                <w:color w:val="000000" w:themeColor="text1"/>
              </w:rPr>
            </w:pPr>
            <w:r>
              <w:rPr>
                <w:rFonts w:eastAsia="Times New Roman"/>
                <w:color w:val="000000" w:themeColor="text1"/>
              </w:rPr>
              <w:t>38</w:t>
            </w:r>
          </w:p>
        </w:tc>
        <w:tc>
          <w:tcPr>
            <w:tcW w:w="309" w:type="pct"/>
            <w:shd w:val="clear" w:color="auto" w:fill="FFFFFF"/>
            <w:vAlign w:val="center"/>
          </w:tcPr>
          <w:p w14:paraId="0B580C56" w14:textId="77777777" w:rsidR="00425E57" w:rsidRPr="00B71D20" w:rsidRDefault="00425E57" w:rsidP="00E12B44">
            <w:pPr>
              <w:jc w:val="center"/>
              <w:rPr>
                <w:rFonts w:eastAsia="Times New Roman"/>
                <w:color w:val="000000" w:themeColor="text1"/>
              </w:rPr>
            </w:pPr>
            <w:r>
              <w:rPr>
                <w:rFonts w:eastAsia="Times New Roman"/>
                <w:color w:val="000000" w:themeColor="text1"/>
              </w:rPr>
              <w:t>2899</w:t>
            </w:r>
          </w:p>
        </w:tc>
        <w:tc>
          <w:tcPr>
            <w:tcW w:w="2953" w:type="pct"/>
            <w:shd w:val="clear" w:color="auto" w:fill="FFFFFF"/>
            <w:vAlign w:val="center"/>
          </w:tcPr>
          <w:p w14:paraId="4BDE0886" w14:textId="77777777" w:rsidR="00425E57" w:rsidRPr="005E1314" w:rsidRDefault="00425E57" w:rsidP="00E12B44">
            <w:pPr>
              <w:jc w:val="both"/>
              <w:rPr>
                <w:lang w:val="en-GB"/>
              </w:rPr>
            </w:pPr>
            <w:proofErr w:type="spellStart"/>
            <w:r w:rsidRPr="005E1314">
              <w:rPr>
                <w:lang w:val="en-GB"/>
              </w:rPr>
              <w:t>Zijin</w:t>
            </w:r>
            <w:proofErr w:type="spellEnd"/>
            <w:r w:rsidRPr="005E1314">
              <w:rPr>
                <w:lang w:val="en-GB"/>
              </w:rPr>
              <w:t xml:space="preserve"> Mining Group Co., Ltd.</w:t>
            </w:r>
          </w:p>
        </w:tc>
        <w:tc>
          <w:tcPr>
            <w:tcW w:w="518" w:type="pct"/>
            <w:shd w:val="clear" w:color="auto" w:fill="FFFFFF"/>
            <w:vAlign w:val="center"/>
          </w:tcPr>
          <w:p w14:paraId="1FF9C8E2" w14:textId="77777777" w:rsidR="00425E57" w:rsidRDefault="00425E57" w:rsidP="00E12B44">
            <w:pPr>
              <w:jc w:val="center"/>
              <w:rPr>
                <w:lang w:val="en-HK"/>
              </w:rPr>
            </w:pPr>
            <w:r w:rsidRPr="005E1314">
              <w:rPr>
                <w:lang w:val="en-HK"/>
              </w:rPr>
              <w:t>ZJM</w:t>
            </w:r>
            <w:r>
              <w:rPr>
                <w:lang w:val="en-HK"/>
              </w:rPr>
              <w:t>/</w:t>
            </w:r>
          </w:p>
          <w:p w14:paraId="4C9C5586" w14:textId="6E7288FB" w:rsidR="00425E57" w:rsidRPr="005E1314" w:rsidRDefault="00425E57" w:rsidP="00E12B44">
            <w:pPr>
              <w:jc w:val="center"/>
            </w:pPr>
            <w:r>
              <w:rPr>
                <w:lang w:val="en-HK"/>
              </w:rPr>
              <w:t>ZJA</w:t>
            </w:r>
            <w:r w:rsidR="00A9377F">
              <w:rPr>
                <w:lang w:val="en-HK"/>
              </w:rPr>
              <w:t>*</w:t>
            </w:r>
          </w:p>
        </w:tc>
        <w:tc>
          <w:tcPr>
            <w:tcW w:w="491" w:type="pct"/>
            <w:shd w:val="clear" w:color="auto" w:fill="FFFFFF"/>
          </w:tcPr>
          <w:p w14:paraId="2489E433" w14:textId="77777777" w:rsidR="00425E57" w:rsidRDefault="00425E57" w:rsidP="00E12B44">
            <w:pPr>
              <w:jc w:val="center"/>
              <w:rPr>
                <w:rFonts w:eastAsia="Times New Roman"/>
                <w:color w:val="000000" w:themeColor="text1"/>
              </w:rPr>
            </w:pPr>
            <w:r>
              <w:rPr>
                <w:rFonts w:eastAsia="Times New Roman"/>
                <w:color w:val="000000" w:themeColor="text1"/>
              </w:rPr>
              <w:t>2,000/</w:t>
            </w:r>
          </w:p>
          <w:p w14:paraId="59044F4B" w14:textId="77777777" w:rsidR="00425E57" w:rsidRPr="00B71D20" w:rsidRDefault="00425E57" w:rsidP="00E12B44">
            <w:pPr>
              <w:jc w:val="center"/>
              <w:rPr>
                <w:rFonts w:eastAsia="Times New Roman"/>
                <w:color w:val="000000" w:themeColor="text1"/>
              </w:rPr>
            </w:pPr>
            <w:r>
              <w:rPr>
                <w:rFonts w:eastAsia="Times New Roman"/>
                <w:color w:val="000000" w:themeColor="text1"/>
              </w:rPr>
              <w:t>10,000</w:t>
            </w:r>
          </w:p>
        </w:tc>
        <w:tc>
          <w:tcPr>
            <w:tcW w:w="303" w:type="pct"/>
            <w:shd w:val="clear" w:color="auto" w:fill="FFFFFF"/>
          </w:tcPr>
          <w:p w14:paraId="1562D720" w14:textId="77777777" w:rsidR="00425E57" w:rsidRDefault="00425E57" w:rsidP="00E12B44">
            <w:pPr>
              <w:jc w:val="center"/>
              <w:rPr>
                <w:rFonts w:eastAsia="Times New Roman"/>
                <w:color w:val="000000" w:themeColor="text1"/>
              </w:rPr>
            </w:pPr>
            <w:r>
              <w:rPr>
                <w:rFonts w:eastAsia="Times New Roman"/>
                <w:color w:val="000000" w:themeColor="text1"/>
              </w:rPr>
              <w:t>3/</w:t>
            </w:r>
          </w:p>
          <w:p w14:paraId="0BE3A92A"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4C2F0C24" w14:textId="77777777" w:rsidTr="008B562D">
        <w:trPr>
          <w:tblCellSpacing w:w="15" w:type="dxa"/>
        </w:trPr>
        <w:tc>
          <w:tcPr>
            <w:tcW w:w="318" w:type="pct"/>
            <w:shd w:val="clear" w:color="auto" w:fill="FFFFFF"/>
            <w:vAlign w:val="center"/>
            <w:hideMark/>
          </w:tcPr>
          <w:p w14:paraId="44FCE15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w:t>
            </w:r>
            <w:r>
              <w:rPr>
                <w:rFonts w:eastAsia="Times New Roman"/>
                <w:color w:val="000000" w:themeColor="text1"/>
              </w:rPr>
              <w:t>9</w:t>
            </w:r>
          </w:p>
        </w:tc>
        <w:tc>
          <w:tcPr>
            <w:tcW w:w="309" w:type="pct"/>
            <w:shd w:val="clear" w:color="auto" w:fill="FFFFFF"/>
            <w:vAlign w:val="center"/>
            <w:hideMark/>
          </w:tcPr>
          <w:p w14:paraId="345C86D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3328</w:t>
            </w:r>
          </w:p>
        </w:tc>
        <w:tc>
          <w:tcPr>
            <w:tcW w:w="2953" w:type="pct"/>
            <w:shd w:val="clear" w:color="auto" w:fill="FFFFFF"/>
            <w:vAlign w:val="center"/>
            <w:hideMark/>
          </w:tcPr>
          <w:p w14:paraId="5CAEAD17"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Bank of Communications Co., Ltd.</w:t>
            </w:r>
          </w:p>
        </w:tc>
        <w:tc>
          <w:tcPr>
            <w:tcW w:w="518" w:type="pct"/>
            <w:shd w:val="clear" w:color="auto" w:fill="FFFFFF"/>
            <w:hideMark/>
          </w:tcPr>
          <w:p w14:paraId="34333F4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BCM</w:t>
            </w:r>
          </w:p>
        </w:tc>
        <w:tc>
          <w:tcPr>
            <w:tcW w:w="491" w:type="pct"/>
            <w:shd w:val="clear" w:color="auto" w:fill="FFFFFF"/>
            <w:hideMark/>
          </w:tcPr>
          <w:p w14:paraId="2D0F13D5"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36789D15"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r w:rsidR="00425E57" w:rsidRPr="00B71D20" w14:paraId="110BB55C" w14:textId="77777777" w:rsidTr="008B562D">
        <w:trPr>
          <w:tblCellSpacing w:w="15" w:type="dxa"/>
        </w:trPr>
        <w:tc>
          <w:tcPr>
            <w:tcW w:w="318" w:type="pct"/>
            <w:shd w:val="clear" w:color="auto" w:fill="FFFFFF"/>
            <w:vAlign w:val="center"/>
          </w:tcPr>
          <w:p w14:paraId="43F18EEE" w14:textId="77777777" w:rsidR="00425E57" w:rsidRPr="00B71D20" w:rsidRDefault="00425E57" w:rsidP="00E12B44">
            <w:pPr>
              <w:jc w:val="center"/>
              <w:rPr>
                <w:rFonts w:eastAsia="Times New Roman"/>
                <w:color w:val="000000" w:themeColor="text1"/>
              </w:rPr>
            </w:pPr>
            <w:r>
              <w:rPr>
                <w:rFonts w:eastAsia="Times New Roman"/>
                <w:color w:val="000000" w:themeColor="text1"/>
              </w:rPr>
              <w:t>40</w:t>
            </w:r>
          </w:p>
        </w:tc>
        <w:tc>
          <w:tcPr>
            <w:tcW w:w="309" w:type="pct"/>
            <w:shd w:val="clear" w:color="auto" w:fill="FFFFFF"/>
            <w:vAlign w:val="center"/>
          </w:tcPr>
          <w:p w14:paraId="25050FBD" w14:textId="77777777" w:rsidR="00425E57" w:rsidRPr="00A01DB7" w:rsidRDefault="00425E57" w:rsidP="00E12B44">
            <w:pPr>
              <w:jc w:val="center"/>
            </w:pPr>
            <w:r w:rsidRPr="00A01DB7">
              <w:rPr>
                <w:lang w:val="en-HK"/>
              </w:rPr>
              <w:t>3888</w:t>
            </w:r>
          </w:p>
        </w:tc>
        <w:tc>
          <w:tcPr>
            <w:tcW w:w="2953" w:type="pct"/>
            <w:shd w:val="clear" w:color="auto" w:fill="FFFFFF"/>
            <w:vAlign w:val="center"/>
          </w:tcPr>
          <w:p w14:paraId="4E397FE1" w14:textId="77777777" w:rsidR="00425E57" w:rsidRPr="00B71D20" w:rsidRDefault="00425E57" w:rsidP="00E12B44">
            <w:pPr>
              <w:jc w:val="both"/>
              <w:rPr>
                <w:color w:val="000000"/>
                <w:lang w:val="en-GB"/>
              </w:rPr>
            </w:pPr>
            <w:r>
              <w:rPr>
                <w:color w:val="000000"/>
                <w:lang w:val="en-GB"/>
              </w:rPr>
              <w:t xml:space="preserve">Kingsoft Corporation Ltd </w:t>
            </w:r>
          </w:p>
        </w:tc>
        <w:tc>
          <w:tcPr>
            <w:tcW w:w="518" w:type="pct"/>
            <w:shd w:val="clear" w:color="auto" w:fill="FFFFFF"/>
            <w:vAlign w:val="center"/>
          </w:tcPr>
          <w:p w14:paraId="0EEBB9C0" w14:textId="77777777" w:rsidR="00425E57" w:rsidRDefault="00425E57" w:rsidP="00E12B44">
            <w:pPr>
              <w:jc w:val="center"/>
              <w:rPr>
                <w:color w:val="000000"/>
                <w:lang w:val="en-HK"/>
              </w:rPr>
            </w:pPr>
            <w:r w:rsidRPr="00B71D20">
              <w:rPr>
                <w:color w:val="000000"/>
                <w:lang w:val="en-HK"/>
              </w:rPr>
              <w:t>KSO</w:t>
            </w:r>
            <w:r>
              <w:rPr>
                <w:color w:val="000000"/>
                <w:lang w:val="en-HK"/>
              </w:rPr>
              <w:t>/</w:t>
            </w:r>
          </w:p>
          <w:p w14:paraId="0441BA85" w14:textId="3AFDFFB1" w:rsidR="00425E57" w:rsidRPr="00B71D20" w:rsidRDefault="00425E57" w:rsidP="00E12B44">
            <w:pPr>
              <w:jc w:val="center"/>
              <w:rPr>
                <w:color w:val="000000"/>
              </w:rPr>
            </w:pPr>
            <w:r>
              <w:rPr>
                <w:color w:val="000000"/>
                <w:lang w:val="en-HK"/>
              </w:rPr>
              <w:t>KSA</w:t>
            </w:r>
            <w:r w:rsidR="00A9377F">
              <w:rPr>
                <w:color w:val="000000"/>
                <w:lang w:val="en-HK"/>
              </w:rPr>
              <w:t>*</w:t>
            </w:r>
          </w:p>
        </w:tc>
        <w:tc>
          <w:tcPr>
            <w:tcW w:w="491" w:type="pct"/>
            <w:shd w:val="clear" w:color="auto" w:fill="FFFFFF"/>
          </w:tcPr>
          <w:p w14:paraId="689D2388" w14:textId="77777777" w:rsidR="00425E57" w:rsidRDefault="00425E57" w:rsidP="00E12B44">
            <w:pPr>
              <w:jc w:val="center"/>
              <w:rPr>
                <w:rFonts w:eastAsia="Times New Roman"/>
                <w:color w:val="000000" w:themeColor="text1"/>
              </w:rPr>
            </w:pPr>
            <w:r>
              <w:rPr>
                <w:rFonts w:eastAsia="Times New Roman"/>
                <w:color w:val="000000" w:themeColor="text1"/>
              </w:rPr>
              <w:t>1,000/</w:t>
            </w:r>
          </w:p>
          <w:p w14:paraId="6F69007B" w14:textId="77777777" w:rsidR="00425E57" w:rsidRPr="00B71D20" w:rsidRDefault="00425E57" w:rsidP="00E12B44">
            <w:pPr>
              <w:jc w:val="center"/>
              <w:rPr>
                <w:rFonts w:eastAsia="Times New Roman"/>
                <w:color w:val="000000" w:themeColor="text1"/>
              </w:rPr>
            </w:pPr>
            <w:r>
              <w:rPr>
                <w:rFonts w:eastAsia="Times New Roman"/>
                <w:color w:val="000000" w:themeColor="text1"/>
              </w:rPr>
              <w:t>5,000</w:t>
            </w:r>
          </w:p>
        </w:tc>
        <w:tc>
          <w:tcPr>
            <w:tcW w:w="303" w:type="pct"/>
            <w:shd w:val="clear" w:color="auto" w:fill="FFFFFF"/>
          </w:tcPr>
          <w:p w14:paraId="2A4453FD" w14:textId="77777777" w:rsidR="00425E57" w:rsidRDefault="00425E57" w:rsidP="00E12B44">
            <w:pPr>
              <w:jc w:val="center"/>
              <w:rPr>
                <w:rFonts w:eastAsia="Times New Roman"/>
                <w:color w:val="000000" w:themeColor="text1"/>
              </w:rPr>
            </w:pPr>
            <w:r>
              <w:rPr>
                <w:rFonts w:eastAsia="Times New Roman"/>
                <w:color w:val="000000" w:themeColor="text1"/>
              </w:rPr>
              <w:t>2/</w:t>
            </w:r>
          </w:p>
          <w:p w14:paraId="1A56DA91" w14:textId="77777777" w:rsidR="00425E57" w:rsidRPr="00B71D20" w:rsidRDefault="00425E57" w:rsidP="00E12B44">
            <w:pPr>
              <w:jc w:val="center"/>
              <w:rPr>
                <w:rFonts w:eastAsia="Times New Roman"/>
                <w:color w:val="000000" w:themeColor="text1"/>
              </w:rPr>
            </w:pPr>
            <w:r>
              <w:rPr>
                <w:rFonts w:eastAsia="Times New Roman"/>
                <w:color w:val="000000" w:themeColor="text1"/>
              </w:rPr>
              <w:t>1</w:t>
            </w:r>
          </w:p>
        </w:tc>
      </w:tr>
      <w:tr w:rsidR="00425E57" w:rsidRPr="00B71D20" w14:paraId="2670D31F" w14:textId="77777777" w:rsidTr="008B562D">
        <w:trPr>
          <w:tblCellSpacing w:w="15" w:type="dxa"/>
        </w:trPr>
        <w:tc>
          <w:tcPr>
            <w:tcW w:w="318" w:type="pct"/>
            <w:shd w:val="clear" w:color="auto" w:fill="FFFFFF"/>
            <w:vAlign w:val="center"/>
            <w:hideMark/>
          </w:tcPr>
          <w:p w14:paraId="0939453F" w14:textId="77777777" w:rsidR="00425E57" w:rsidRPr="00B71D20" w:rsidRDefault="00425E57" w:rsidP="00E12B44">
            <w:pPr>
              <w:jc w:val="center"/>
              <w:rPr>
                <w:rFonts w:eastAsia="Times New Roman"/>
                <w:color w:val="000000" w:themeColor="text1"/>
              </w:rPr>
            </w:pPr>
            <w:r>
              <w:rPr>
                <w:rFonts w:eastAsia="Times New Roman"/>
                <w:color w:val="000000" w:themeColor="text1"/>
              </w:rPr>
              <w:t>41</w:t>
            </w:r>
          </w:p>
        </w:tc>
        <w:tc>
          <w:tcPr>
            <w:tcW w:w="309" w:type="pct"/>
            <w:shd w:val="clear" w:color="auto" w:fill="FFFFFF"/>
            <w:vAlign w:val="center"/>
            <w:hideMark/>
          </w:tcPr>
          <w:p w14:paraId="7522258D"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3968</w:t>
            </w:r>
          </w:p>
        </w:tc>
        <w:tc>
          <w:tcPr>
            <w:tcW w:w="2953" w:type="pct"/>
            <w:shd w:val="clear" w:color="auto" w:fill="FFFFFF"/>
            <w:vAlign w:val="center"/>
            <w:hideMark/>
          </w:tcPr>
          <w:p w14:paraId="3A077DBF"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China Merchants Bank Co., Ltd.  </w:t>
            </w:r>
          </w:p>
        </w:tc>
        <w:tc>
          <w:tcPr>
            <w:tcW w:w="518" w:type="pct"/>
            <w:shd w:val="clear" w:color="auto" w:fill="FFFFFF"/>
            <w:hideMark/>
          </w:tcPr>
          <w:p w14:paraId="4C6FD50A"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CMB</w:t>
            </w:r>
          </w:p>
        </w:tc>
        <w:tc>
          <w:tcPr>
            <w:tcW w:w="491" w:type="pct"/>
            <w:shd w:val="clear" w:color="auto" w:fill="FFFFFF"/>
            <w:hideMark/>
          </w:tcPr>
          <w:p w14:paraId="794CB38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500</w:t>
            </w:r>
          </w:p>
        </w:tc>
        <w:tc>
          <w:tcPr>
            <w:tcW w:w="303" w:type="pct"/>
            <w:shd w:val="clear" w:color="auto" w:fill="FFFFFF"/>
          </w:tcPr>
          <w:p w14:paraId="0E8F31A9" w14:textId="77777777" w:rsidR="00425E57" w:rsidRPr="00B71D20" w:rsidRDefault="00425E57" w:rsidP="00E12B44">
            <w:pPr>
              <w:jc w:val="center"/>
              <w:rPr>
                <w:rFonts w:eastAsia="Times New Roman"/>
                <w:color w:val="000000" w:themeColor="text1"/>
              </w:rPr>
            </w:pPr>
            <w:r>
              <w:rPr>
                <w:rFonts w:eastAsia="Times New Roman"/>
                <w:color w:val="000000" w:themeColor="text1"/>
              </w:rPr>
              <w:t>2</w:t>
            </w:r>
          </w:p>
        </w:tc>
      </w:tr>
      <w:tr w:rsidR="00425E57" w:rsidRPr="00B71D20" w14:paraId="0A769E79" w14:textId="77777777" w:rsidTr="008B562D">
        <w:trPr>
          <w:tblCellSpacing w:w="15" w:type="dxa"/>
        </w:trPr>
        <w:tc>
          <w:tcPr>
            <w:tcW w:w="318" w:type="pct"/>
            <w:shd w:val="clear" w:color="auto" w:fill="FFFFFF"/>
            <w:vAlign w:val="center"/>
            <w:hideMark/>
          </w:tcPr>
          <w:p w14:paraId="516024FA" w14:textId="77777777" w:rsidR="00425E57" w:rsidRPr="00B71D20" w:rsidRDefault="00425E57" w:rsidP="00E12B44">
            <w:pPr>
              <w:jc w:val="center"/>
              <w:rPr>
                <w:rFonts w:eastAsia="Times New Roman"/>
                <w:color w:val="000000" w:themeColor="text1"/>
              </w:rPr>
            </w:pPr>
            <w:r>
              <w:rPr>
                <w:rFonts w:eastAsia="Times New Roman"/>
                <w:color w:val="000000" w:themeColor="text1"/>
              </w:rPr>
              <w:t>42</w:t>
            </w:r>
          </w:p>
        </w:tc>
        <w:tc>
          <w:tcPr>
            <w:tcW w:w="309" w:type="pct"/>
            <w:shd w:val="clear" w:color="auto" w:fill="FFFFFF"/>
            <w:vAlign w:val="center"/>
            <w:hideMark/>
          </w:tcPr>
          <w:p w14:paraId="7077670E"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3988</w:t>
            </w:r>
          </w:p>
        </w:tc>
        <w:tc>
          <w:tcPr>
            <w:tcW w:w="2953" w:type="pct"/>
            <w:shd w:val="clear" w:color="auto" w:fill="FFFFFF"/>
            <w:vAlign w:val="center"/>
            <w:hideMark/>
          </w:tcPr>
          <w:p w14:paraId="2FB974EE" w14:textId="77777777" w:rsidR="00425E57" w:rsidRPr="00B71D20" w:rsidRDefault="00425E57" w:rsidP="00E12B44">
            <w:pPr>
              <w:jc w:val="both"/>
              <w:rPr>
                <w:rFonts w:eastAsia="Times New Roman"/>
                <w:color w:val="000000" w:themeColor="text1"/>
              </w:rPr>
            </w:pPr>
            <w:r w:rsidRPr="00B71D20">
              <w:rPr>
                <w:rFonts w:eastAsia="Times New Roman"/>
                <w:color w:val="000000" w:themeColor="text1"/>
              </w:rPr>
              <w:t>Bank of China Limited</w:t>
            </w:r>
          </w:p>
        </w:tc>
        <w:tc>
          <w:tcPr>
            <w:tcW w:w="518" w:type="pct"/>
            <w:shd w:val="clear" w:color="auto" w:fill="FFFFFF"/>
            <w:hideMark/>
          </w:tcPr>
          <w:p w14:paraId="78C79710"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BCL</w:t>
            </w:r>
          </w:p>
        </w:tc>
        <w:tc>
          <w:tcPr>
            <w:tcW w:w="491" w:type="pct"/>
            <w:shd w:val="clear" w:color="auto" w:fill="FFFFFF"/>
            <w:hideMark/>
          </w:tcPr>
          <w:p w14:paraId="1BFB4164" w14:textId="77777777" w:rsidR="00425E57" w:rsidRPr="00B71D20" w:rsidRDefault="00425E57" w:rsidP="00E12B44">
            <w:pPr>
              <w:jc w:val="center"/>
              <w:rPr>
                <w:rFonts w:eastAsia="Times New Roman"/>
                <w:color w:val="000000" w:themeColor="text1"/>
              </w:rPr>
            </w:pPr>
            <w:r w:rsidRPr="00B71D20">
              <w:rPr>
                <w:rFonts w:eastAsia="Times New Roman"/>
                <w:color w:val="000000" w:themeColor="text1"/>
              </w:rPr>
              <w:t>1,000</w:t>
            </w:r>
          </w:p>
        </w:tc>
        <w:tc>
          <w:tcPr>
            <w:tcW w:w="303" w:type="pct"/>
            <w:shd w:val="clear" w:color="auto" w:fill="FFFFFF"/>
          </w:tcPr>
          <w:p w14:paraId="1108677B" w14:textId="77777777" w:rsidR="00425E57" w:rsidRPr="00B71D20" w:rsidRDefault="00425E57" w:rsidP="00E12B44">
            <w:pPr>
              <w:jc w:val="center"/>
              <w:rPr>
                <w:rFonts w:eastAsia="Times New Roman"/>
                <w:color w:val="000000" w:themeColor="text1"/>
              </w:rPr>
            </w:pPr>
            <w:r>
              <w:rPr>
                <w:rFonts w:eastAsia="Times New Roman"/>
                <w:color w:val="000000" w:themeColor="text1"/>
              </w:rPr>
              <w:t>3</w:t>
            </w:r>
          </w:p>
        </w:tc>
      </w:tr>
    </w:tbl>
    <w:p w14:paraId="03AA31B2" w14:textId="2F4DE9AF" w:rsidR="00425E57" w:rsidRPr="00CD5D7C" w:rsidRDefault="00A9377F" w:rsidP="00425E57">
      <w:pPr>
        <w:pStyle w:val="Default"/>
        <w:rPr>
          <w:i/>
          <w:iCs/>
          <w:sz w:val="20"/>
          <w:szCs w:val="20"/>
        </w:rPr>
      </w:pPr>
      <w:r>
        <w:rPr>
          <w:i/>
          <w:iCs/>
          <w:sz w:val="20"/>
          <w:szCs w:val="20"/>
        </w:rPr>
        <w:t>* Adjusted contracts</w:t>
      </w:r>
    </w:p>
    <w:p w14:paraId="334133CF" w14:textId="77777777" w:rsidR="00425E57" w:rsidRPr="00744354" w:rsidRDefault="00425E57" w:rsidP="00425E57">
      <w:pPr>
        <w:pStyle w:val="BodyTextIndent"/>
        <w:snapToGrid w:val="0"/>
        <w:spacing w:after="0"/>
        <w:ind w:leftChars="0" w:left="0"/>
        <w:rPr>
          <w:i/>
          <w:sz w:val="18"/>
        </w:rPr>
      </w:pPr>
    </w:p>
    <w:p w14:paraId="676D643D" w14:textId="77777777" w:rsidR="00425E57" w:rsidRPr="00C16A16" w:rsidRDefault="00425E57" w:rsidP="00425E57">
      <w:pPr>
        <w:snapToGrid w:val="0"/>
        <w:jc w:val="both"/>
        <w:rPr>
          <w:b/>
          <w:sz w:val="22"/>
          <w:szCs w:val="22"/>
          <w:u w:val="single"/>
        </w:rPr>
      </w:pPr>
    </w:p>
    <w:p w14:paraId="6AAB6268" w14:textId="77777777" w:rsidR="00425E57" w:rsidRPr="001C25F1" w:rsidRDefault="00425E57" w:rsidP="00425E57">
      <w:pPr>
        <w:snapToGrid w:val="0"/>
        <w:jc w:val="both"/>
        <w:rPr>
          <w:b/>
          <w:sz w:val="24"/>
          <w:szCs w:val="24"/>
          <w:u w:val="single"/>
        </w:rPr>
      </w:pPr>
    </w:p>
    <w:p w14:paraId="4BEB1F59" w14:textId="77777777" w:rsidR="00425E57" w:rsidRDefault="00425E57" w:rsidP="00425E57">
      <w:pPr>
        <w:snapToGrid w:val="0"/>
        <w:jc w:val="both"/>
        <w:rPr>
          <w:sz w:val="24"/>
          <w:szCs w:val="24"/>
        </w:rPr>
      </w:pPr>
    </w:p>
    <w:p w14:paraId="161E84EF" w14:textId="77777777" w:rsidR="00425E57" w:rsidRPr="008B562D" w:rsidRDefault="00425E57" w:rsidP="00425E57">
      <w:pPr>
        <w:pageBreakBefore/>
        <w:snapToGrid w:val="0"/>
        <w:jc w:val="right"/>
      </w:pPr>
      <w:r w:rsidRPr="008B562D">
        <w:t>Attachment II</w:t>
      </w:r>
    </w:p>
    <w:p w14:paraId="2BDE7202" w14:textId="77777777" w:rsidR="00425E57" w:rsidRPr="008B562D" w:rsidRDefault="00425E57" w:rsidP="00425E57">
      <w:pPr>
        <w:snapToGrid w:val="0"/>
        <w:jc w:val="both"/>
        <w:rPr>
          <w:b/>
          <w:u w:val="single"/>
        </w:rPr>
      </w:pPr>
      <w:r w:rsidRPr="008B562D">
        <w:rPr>
          <w:b/>
          <w:u w:val="single"/>
        </w:rPr>
        <w:t>Liquidity Provider Program</w:t>
      </w:r>
    </w:p>
    <w:p w14:paraId="0FC87E83" w14:textId="77777777" w:rsidR="00425E57" w:rsidRPr="008B562D" w:rsidRDefault="00425E57" w:rsidP="00425E57">
      <w:pPr>
        <w:snapToGrid w:val="0"/>
        <w:jc w:val="both"/>
      </w:pPr>
    </w:p>
    <w:p w14:paraId="19AA1B85" w14:textId="77777777" w:rsidR="00425E57" w:rsidRPr="008B562D" w:rsidRDefault="00425E57" w:rsidP="00425E57">
      <w:pPr>
        <w:pStyle w:val="ListParagraph"/>
        <w:numPr>
          <w:ilvl w:val="0"/>
          <w:numId w:val="10"/>
        </w:numPr>
        <w:snapToGrid w:val="0"/>
        <w:ind w:leftChars="0"/>
        <w:jc w:val="both"/>
        <w:rPr>
          <w:rFonts w:ascii="Arial" w:hAnsi="Arial" w:cs="Arial"/>
          <w:sz w:val="20"/>
          <w:szCs w:val="20"/>
        </w:rPr>
      </w:pPr>
      <w:r w:rsidRPr="008B562D">
        <w:rPr>
          <w:rFonts w:ascii="Arial" w:hAnsi="Arial" w:cs="Arial"/>
          <w:sz w:val="20"/>
          <w:szCs w:val="20"/>
        </w:rPr>
        <w:t>LP will be required to provide continuous quotes in any of the stock futures contracts below:</w:t>
      </w:r>
    </w:p>
    <w:p w14:paraId="2DEE6C13" w14:textId="77777777" w:rsidR="00425E57" w:rsidRPr="008B562D" w:rsidRDefault="00425E57" w:rsidP="00425E57">
      <w:pPr>
        <w:snapToGrid w:val="0"/>
        <w:jc w:val="both"/>
      </w:pPr>
    </w:p>
    <w:tbl>
      <w:tblPr>
        <w:tblStyle w:val="TableGrid"/>
        <w:tblW w:w="9304" w:type="dxa"/>
        <w:tblInd w:w="392" w:type="dxa"/>
        <w:tblLayout w:type="fixed"/>
        <w:tblCellMar>
          <w:top w:w="28" w:type="dxa"/>
          <w:left w:w="57" w:type="dxa"/>
          <w:bottom w:w="28" w:type="dxa"/>
          <w:right w:w="57" w:type="dxa"/>
        </w:tblCellMar>
        <w:tblLook w:val="04A0" w:firstRow="1" w:lastRow="0" w:firstColumn="1" w:lastColumn="0" w:noHBand="0" w:noVBand="1"/>
      </w:tblPr>
      <w:tblGrid>
        <w:gridCol w:w="658"/>
        <w:gridCol w:w="3543"/>
        <w:gridCol w:w="1134"/>
        <w:gridCol w:w="1134"/>
        <w:gridCol w:w="1134"/>
        <w:gridCol w:w="1701"/>
      </w:tblGrid>
      <w:tr w:rsidR="00425E57" w:rsidRPr="0095215C" w14:paraId="22F564C7" w14:textId="77777777" w:rsidTr="0095215C">
        <w:trPr>
          <w:trHeight w:val="825"/>
          <w:tblHeader/>
        </w:trPr>
        <w:tc>
          <w:tcPr>
            <w:tcW w:w="658" w:type="dxa"/>
            <w:shd w:val="clear" w:color="auto" w:fill="DAEEF3" w:themeFill="accent5" w:themeFillTint="33"/>
          </w:tcPr>
          <w:p w14:paraId="2EB4D591"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Stock Code</w:t>
            </w:r>
          </w:p>
        </w:tc>
        <w:tc>
          <w:tcPr>
            <w:tcW w:w="3543" w:type="dxa"/>
            <w:shd w:val="clear" w:color="auto" w:fill="DAEEF3" w:themeFill="accent5" w:themeFillTint="33"/>
          </w:tcPr>
          <w:p w14:paraId="6A71EC26"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Underlying Stock</w:t>
            </w:r>
          </w:p>
        </w:tc>
        <w:tc>
          <w:tcPr>
            <w:tcW w:w="1134" w:type="dxa"/>
            <w:shd w:val="clear" w:color="auto" w:fill="DAEEF3" w:themeFill="accent5" w:themeFillTint="33"/>
          </w:tcPr>
          <w:p w14:paraId="2F7D4ACB" w14:textId="77777777" w:rsidR="00425E57" w:rsidRPr="0095215C" w:rsidRDefault="00425E57" w:rsidP="00203B0C">
            <w:pPr>
              <w:snapToGrid w:val="0"/>
              <w:jc w:val="center"/>
              <w:rPr>
                <w:lang w:val="en-GB"/>
              </w:rPr>
            </w:pPr>
            <w:r w:rsidRPr="0095215C">
              <w:rPr>
                <w:rFonts w:eastAsia="Times New Roman"/>
                <w:color w:val="000000" w:themeColor="dark1"/>
                <w:kern w:val="24"/>
                <w:lang w:val="en-GB" w:eastAsia="zh-HK"/>
              </w:rPr>
              <w:t>Assigned Contract Months</w:t>
            </w:r>
          </w:p>
        </w:tc>
        <w:tc>
          <w:tcPr>
            <w:tcW w:w="1134" w:type="dxa"/>
            <w:shd w:val="clear" w:color="auto" w:fill="DAEEF3" w:themeFill="accent5" w:themeFillTint="33"/>
          </w:tcPr>
          <w:p w14:paraId="74AB112E" w14:textId="77777777" w:rsidR="00425E57" w:rsidRPr="0095215C" w:rsidRDefault="00425E57" w:rsidP="00203B0C">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Minimum % Trading Hours Coverage</w:t>
            </w:r>
          </w:p>
        </w:tc>
        <w:tc>
          <w:tcPr>
            <w:tcW w:w="1134" w:type="dxa"/>
            <w:shd w:val="clear" w:color="auto" w:fill="DAEEF3" w:themeFill="accent5" w:themeFillTint="33"/>
          </w:tcPr>
          <w:p w14:paraId="61BEFDD5" w14:textId="77777777" w:rsidR="00425E57" w:rsidRPr="0095215C" w:rsidRDefault="00425E57" w:rsidP="00203B0C">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Minimum Quote Quantity</w:t>
            </w:r>
          </w:p>
        </w:tc>
        <w:tc>
          <w:tcPr>
            <w:tcW w:w="1701" w:type="dxa"/>
            <w:shd w:val="clear" w:color="auto" w:fill="DAEEF3" w:themeFill="accent5" w:themeFillTint="33"/>
          </w:tcPr>
          <w:p w14:paraId="771CB269" w14:textId="77777777" w:rsidR="00425E57" w:rsidRPr="0095215C" w:rsidRDefault="00425E57" w:rsidP="00203B0C">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Maximum Bid / Offer Spread</w:t>
            </w:r>
          </w:p>
        </w:tc>
      </w:tr>
      <w:tr w:rsidR="00425E57" w:rsidRPr="0095215C" w14:paraId="46453EC4" w14:textId="77777777" w:rsidTr="0095215C">
        <w:trPr>
          <w:trHeight w:val="409"/>
        </w:trPr>
        <w:tc>
          <w:tcPr>
            <w:tcW w:w="658" w:type="dxa"/>
            <w:vAlign w:val="center"/>
          </w:tcPr>
          <w:p w14:paraId="3B27D8B8"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5</w:t>
            </w:r>
          </w:p>
        </w:tc>
        <w:tc>
          <w:tcPr>
            <w:tcW w:w="3543" w:type="dxa"/>
            <w:vAlign w:val="center"/>
          </w:tcPr>
          <w:p w14:paraId="02B1EE0E"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HSBC Holdings Plc.</w:t>
            </w:r>
          </w:p>
        </w:tc>
        <w:tc>
          <w:tcPr>
            <w:tcW w:w="1134" w:type="dxa"/>
            <w:vMerge w:val="restart"/>
            <w:vAlign w:val="center"/>
          </w:tcPr>
          <w:p w14:paraId="7F062F14" w14:textId="77777777" w:rsidR="00425E57" w:rsidRPr="0095215C" w:rsidRDefault="00425E57" w:rsidP="0095215C">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Spot and next months</w:t>
            </w:r>
          </w:p>
          <w:p w14:paraId="2B49019D"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val="restart"/>
            <w:vAlign w:val="center"/>
          </w:tcPr>
          <w:p w14:paraId="2ACFAB4B"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70%</w:t>
            </w:r>
          </w:p>
        </w:tc>
        <w:tc>
          <w:tcPr>
            <w:tcW w:w="1134" w:type="dxa"/>
            <w:vMerge w:val="restart"/>
            <w:vAlign w:val="center"/>
          </w:tcPr>
          <w:p w14:paraId="7BEB2C1E" w14:textId="78256535" w:rsidR="00425E57" w:rsidRPr="00203B0C" w:rsidRDefault="00425E57" w:rsidP="00E12B44">
            <w:pPr>
              <w:snapToGrid w:val="0"/>
              <w:jc w:val="center"/>
              <w:rPr>
                <w:rFonts w:eastAsia="Times New Roman"/>
                <w:color w:val="000000" w:themeColor="dark1"/>
                <w:kern w:val="24"/>
                <w:lang w:val="en-GB" w:eastAsia="zh-HK"/>
              </w:rPr>
            </w:pPr>
            <w:r w:rsidRPr="00203B0C">
              <w:rPr>
                <w:rFonts w:eastAsia="Times New Roman"/>
                <w:color w:val="000000" w:themeColor="dark1"/>
                <w:kern w:val="24"/>
                <w:lang w:val="en-GB" w:eastAsia="zh-HK"/>
              </w:rPr>
              <w:t>10 contracts</w:t>
            </w:r>
          </w:p>
        </w:tc>
        <w:tc>
          <w:tcPr>
            <w:tcW w:w="1701" w:type="dxa"/>
            <w:vMerge w:val="restart"/>
            <w:vAlign w:val="center"/>
          </w:tcPr>
          <w:p w14:paraId="08086CDE" w14:textId="5695F4E5" w:rsidR="00425E57" w:rsidRPr="00203B0C" w:rsidRDefault="00425E57" w:rsidP="00E12B44">
            <w:pPr>
              <w:snapToGrid w:val="0"/>
              <w:jc w:val="both"/>
              <w:rPr>
                <w:rFonts w:eastAsia="Times New Roman"/>
                <w:color w:val="000000" w:themeColor="dark1"/>
                <w:kern w:val="24"/>
                <w:lang w:val="en-GB" w:eastAsia="zh-HK"/>
              </w:rPr>
            </w:pPr>
            <w:r w:rsidRPr="00203B0C">
              <w:rPr>
                <w:rFonts w:eastAsia="Times New Roman"/>
                <w:color w:val="000000" w:themeColor="dark1"/>
                <w:kern w:val="24"/>
                <w:lang w:val="en-GB" w:eastAsia="zh-HK"/>
              </w:rPr>
              <w:t>0.2% of bid price plus the best bid / offer spread of underlying stock</w:t>
            </w:r>
          </w:p>
        </w:tc>
      </w:tr>
      <w:tr w:rsidR="00425E57" w:rsidRPr="0095215C" w14:paraId="4B653F30" w14:textId="77777777" w:rsidTr="0095215C">
        <w:trPr>
          <w:trHeight w:val="212"/>
        </w:trPr>
        <w:tc>
          <w:tcPr>
            <w:tcW w:w="658" w:type="dxa"/>
            <w:vAlign w:val="center"/>
          </w:tcPr>
          <w:p w14:paraId="6985AEEE"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388</w:t>
            </w:r>
          </w:p>
        </w:tc>
        <w:tc>
          <w:tcPr>
            <w:tcW w:w="3543" w:type="dxa"/>
            <w:vAlign w:val="center"/>
          </w:tcPr>
          <w:p w14:paraId="4894D679"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Hong Kong Exchanges and Clearing Limited</w:t>
            </w:r>
          </w:p>
        </w:tc>
        <w:tc>
          <w:tcPr>
            <w:tcW w:w="1134" w:type="dxa"/>
            <w:vMerge/>
            <w:vAlign w:val="center"/>
          </w:tcPr>
          <w:p w14:paraId="10F4BD05"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18043339" w14:textId="77777777" w:rsidR="00425E57" w:rsidRPr="0095215C" w:rsidRDefault="00425E57" w:rsidP="00E12B44">
            <w:pPr>
              <w:jc w:val="center"/>
              <w:rPr>
                <w:lang w:val="en-GB"/>
              </w:rPr>
            </w:pPr>
          </w:p>
        </w:tc>
        <w:tc>
          <w:tcPr>
            <w:tcW w:w="1134" w:type="dxa"/>
            <w:vMerge/>
            <w:vAlign w:val="center"/>
          </w:tcPr>
          <w:p w14:paraId="742DD357"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1D11B54E"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1B6F712A" w14:textId="77777777" w:rsidTr="0095215C">
        <w:trPr>
          <w:trHeight w:val="381"/>
        </w:trPr>
        <w:tc>
          <w:tcPr>
            <w:tcW w:w="658" w:type="dxa"/>
            <w:vAlign w:val="center"/>
          </w:tcPr>
          <w:p w14:paraId="0635E3B7"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700</w:t>
            </w:r>
          </w:p>
        </w:tc>
        <w:tc>
          <w:tcPr>
            <w:tcW w:w="3543" w:type="dxa"/>
            <w:vAlign w:val="center"/>
          </w:tcPr>
          <w:p w14:paraId="5C6D9DB3" w14:textId="77777777" w:rsidR="00425E57" w:rsidRPr="0095215C" w:rsidRDefault="00425E57" w:rsidP="00E12B44">
            <w:pPr>
              <w:snapToGrid w:val="0"/>
              <w:rPr>
                <w:rFonts w:eastAsia="Times New Roman"/>
                <w:color w:val="000000" w:themeColor="dark1"/>
                <w:kern w:val="24"/>
                <w:lang w:val="en-GB" w:eastAsia="zh-HK"/>
              </w:rPr>
            </w:pPr>
            <w:proofErr w:type="spellStart"/>
            <w:r w:rsidRPr="0095215C">
              <w:rPr>
                <w:rFonts w:eastAsia="Times New Roman"/>
                <w:color w:val="000000" w:themeColor="dark1"/>
                <w:kern w:val="24"/>
                <w:lang w:val="en-GB" w:eastAsia="zh-HK"/>
              </w:rPr>
              <w:t>Tencent</w:t>
            </w:r>
            <w:proofErr w:type="spellEnd"/>
            <w:r w:rsidRPr="0095215C">
              <w:rPr>
                <w:rFonts w:eastAsia="Times New Roman"/>
                <w:color w:val="000000" w:themeColor="dark1"/>
                <w:kern w:val="24"/>
                <w:lang w:val="en-GB" w:eastAsia="zh-HK"/>
              </w:rPr>
              <w:t xml:space="preserve"> Holdings Ltd.</w:t>
            </w:r>
          </w:p>
        </w:tc>
        <w:tc>
          <w:tcPr>
            <w:tcW w:w="1134" w:type="dxa"/>
            <w:vMerge/>
            <w:vAlign w:val="center"/>
          </w:tcPr>
          <w:p w14:paraId="7447BB09"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7EDF2E65" w14:textId="77777777" w:rsidR="00425E57" w:rsidRPr="0095215C" w:rsidRDefault="00425E57" w:rsidP="00E12B44">
            <w:pPr>
              <w:jc w:val="center"/>
              <w:rPr>
                <w:lang w:val="en-GB"/>
              </w:rPr>
            </w:pPr>
          </w:p>
        </w:tc>
        <w:tc>
          <w:tcPr>
            <w:tcW w:w="1134" w:type="dxa"/>
            <w:vMerge/>
            <w:vAlign w:val="center"/>
          </w:tcPr>
          <w:p w14:paraId="5303C8B5"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5337B6DF"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51469F1A" w14:textId="77777777" w:rsidTr="00187BE1">
        <w:trPr>
          <w:trHeight w:val="360"/>
        </w:trPr>
        <w:tc>
          <w:tcPr>
            <w:tcW w:w="658" w:type="dxa"/>
            <w:vAlign w:val="center"/>
          </w:tcPr>
          <w:p w14:paraId="1D551E2B"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939</w:t>
            </w:r>
          </w:p>
        </w:tc>
        <w:tc>
          <w:tcPr>
            <w:tcW w:w="3543" w:type="dxa"/>
            <w:vAlign w:val="center"/>
          </w:tcPr>
          <w:p w14:paraId="65731D27"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China Construction Bank Corporation</w:t>
            </w:r>
          </w:p>
        </w:tc>
        <w:tc>
          <w:tcPr>
            <w:tcW w:w="1134" w:type="dxa"/>
            <w:vMerge/>
            <w:vAlign w:val="center"/>
          </w:tcPr>
          <w:p w14:paraId="0C325097"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014A6828" w14:textId="77777777" w:rsidR="00425E57" w:rsidRPr="0095215C" w:rsidRDefault="00425E57" w:rsidP="00E12B44">
            <w:pPr>
              <w:jc w:val="center"/>
              <w:rPr>
                <w:lang w:val="en-GB"/>
              </w:rPr>
            </w:pPr>
          </w:p>
        </w:tc>
        <w:tc>
          <w:tcPr>
            <w:tcW w:w="1134" w:type="dxa"/>
            <w:vMerge/>
            <w:vAlign w:val="center"/>
          </w:tcPr>
          <w:p w14:paraId="1E8A7BF5"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41C22D0A"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63F76838" w14:textId="77777777" w:rsidTr="0095215C">
        <w:trPr>
          <w:trHeight w:val="368"/>
        </w:trPr>
        <w:tc>
          <w:tcPr>
            <w:tcW w:w="658" w:type="dxa"/>
            <w:vAlign w:val="center"/>
          </w:tcPr>
          <w:p w14:paraId="1D528F19"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941</w:t>
            </w:r>
          </w:p>
        </w:tc>
        <w:tc>
          <w:tcPr>
            <w:tcW w:w="3543" w:type="dxa"/>
            <w:vAlign w:val="center"/>
          </w:tcPr>
          <w:p w14:paraId="03488615"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China Mobile Limited</w:t>
            </w:r>
          </w:p>
        </w:tc>
        <w:tc>
          <w:tcPr>
            <w:tcW w:w="1134" w:type="dxa"/>
            <w:vMerge/>
            <w:vAlign w:val="center"/>
          </w:tcPr>
          <w:p w14:paraId="104C787F"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60B761B3" w14:textId="77777777" w:rsidR="00425E57" w:rsidRPr="0095215C" w:rsidRDefault="00425E57" w:rsidP="00E12B44">
            <w:pPr>
              <w:jc w:val="center"/>
              <w:rPr>
                <w:lang w:val="en-GB"/>
              </w:rPr>
            </w:pPr>
          </w:p>
        </w:tc>
        <w:tc>
          <w:tcPr>
            <w:tcW w:w="1134" w:type="dxa"/>
            <w:vMerge/>
            <w:vAlign w:val="center"/>
          </w:tcPr>
          <w:p w14:paraId="762BFE65"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10CB57E3"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36B6306A" w14:textId="77777777" w:rsidTr="0095215C">
        <w:trPr>
          <w:trHeight w:val="236"/>
        </w:trPr>
        <w:tc>
          <w:tcPr>
            <w:tcW w:w="658" w:type="dxa"/>
            <w:vAlign w:val="center"/>
          </w:tcPr>
          <w:p w14:paraId="2566147F"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1398</w:t>
            </w:r>
          </w:p>
        </w:tc>
        <w:tc>
          <w:tcPr>
            <w:tcW w:w="3543" w:type="dxa"/>
            <w:vAlign w:val="center"/>
          </w:tcPr>
          <w:p w14:paraId="582D120B"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Industrial and Commercial Bank of China Limited</w:t>
            </w:r>
          </w:p>
        </w:tc>
        <w:tc>
          <w:tcPr>
            <w:tcW w:w="1134" w:type="dxa"/>
            <w:vMerge/>
            <w:vAlign w:val="center"/>
          </w:tcPr>
          <w:p w14:paraId="541A1BE4"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08ACE940" w14:textId="77777777" w:rsidR="00425E57" w:rsidRPr="0095215C" w:rsidRDefault="00425E57" w:rsidP="00E12B44">
            <w:pPr>
              <w:jc w:val="center"/>
              <w:rPr>
                <w:lang w:val="en-GB"/>
              </w:rPr>
            </w:pPr>
          </w:p>
        </w:tc>
        <w:tc>
          <w:tcPr>
            <w:tcW w:w="1134" w:type="dxa"/>
            <w:vMerge/>
            <w:vAlign w:val="center"/>
          </w:tcPr>
          <w:p w14:paraId="6C7CF38B"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10981DA6"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47CD3BAA" w14:textId="77777777" w:rsidTr="0095215C">
        <w:trPr>
          <w:trHeight w:val="174"/>
        </w:trPr>
        <w:tc>
          <w:tcPr>
            <w:tcW w:w="658" w:type="dxa"/>
            <w:vAlign w:val="center"/>
          </w:tcPr>
          <w:p w14:paraId="066C1473"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2318</w:t>
            </w:r>
          </w:p>
        </w:tc>
        <w:tc>
          <w:tcPr>
            <w:tcW w:w="3543" w:type="dxa"/>
            <w:vAlign w:val="center"/>
          </w:tcPr>
          <w:p w14:paraId="7B592D41"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Ping An Insurance (Group) Company of China, Ltd.</w:t>
            </w:r>
          </w:p>
        </w:tc>
        <w:tc>
          <w:tcPr>
            <w:tcW w:w="1134" w:type="dxa"/>
            <w:vMerge/>
            <w:vAlign w:val="center"/>
          </w:tcPr>
          <w:p w14:paraId="272A20A2"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1632B0A9" w14:textId="77777777" w:rsidR="00425E57" w:rsidRPr="0095215C" w:rsidRDefault="00425E57" w:rsidP="00E12B44">
            <w:pPr>
              <w:jc w:val="center"/>
              <w:rPr>
                <w:lang w:val="en-GB"/>
              </w:rPr>
            </w:pPr>
          </w:p>
        </w:tc>
        <w:tc>
          <w:tcPr>
            <w:tcW w:w="1134" w:type="dxa"/>
            <w:vMerge/>
            <w:vAlign w:val="center"/>
          </w:tcPr>
          <w:p w14:paraId="31AFF3A6"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4623003F"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4F87EF1F" w14:textId="77777777" w:rsidTr="0095215C">
        <w:trPr>
          <w:trHeight w:val="403"/>
        </w:trPr>
        <w:tc>
          <w:tcPr>
            <w:tcW w:w="658" w:type="dxa"/>
            <w:vAlign w:val="center"/>
          </w:tcPr>
          <w:p w14:paraId="2776CD3D"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2822</w:t>
            </w:r>
          </w:p>
        </w:tc>
        <w:tc>
          <w:tcPr>
            <w:tcW w:w="3543" w:type="dxa"/>
            <w:vAlign w:val="center"/>
          </w:tcPr>
          <w:p w14:paraId="13AC66E5"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CSOP FTSE China A50 ETF</w:t>
            </w:r>
          </w:p>
        </w:tc>
        <w:tc>
          <w:tcPr>
            <w:tcW w:w="1134" w:type="dxa"/>
            <w:vMerge/>
            <w:vAlign w:val="center"/>
          </w:tcPr>
          <w:p w14:paraId="57F4087A"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47F60D62" w14:textId="77777777" w:rsidR="00425E57" w:rsidRPr="0095215C" w:rsidRDefault="00425E57" w:rsidP="00E12B44">
            <w:pPr>
              <w:jc w:val="center"/>
              <w:rPr>
                <w:lang w:val="en-GB"/>
              </w:rPr>
            </w:pPr>
          </w:p>
        </w:tc>
        <w:tc>
          <w:tcPr>
            <w:tcW w:w="1134" w:type="dxa"/>
            <w:vMerge/>
            <w:vAlign w:val="center"/>
          </w:tcPr>
          <w:p w14:paraId="456C3301"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62ED955D"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592A53EA" w14:textId="77777777" w:rsidTr="0095215C">
        <w:trPr>
          <w:trHeight w:val="425"/>
        </w:trPr>
        <w:tc>
          <w:tcPr>
            <w:tcW w:w="658" w:type="dxa"/>
            <w:vAlign w:val="center"/>
          </w:tcPr>
          <w:p w14:paraId="2CED460A"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2823</w:t>
            </w:r>
          </w:p>
        </w:tc>
        <w:tc>
          <w:tcPr>
            <w:tcW w:w="3543" w:type="dxa"/>
            <w:vAlign w:val="center"/>
          </w:tcPr>
          <w:p w14:paraId="25A4B5F1"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iShares FTSE A50 China Index ETF</w:t>
            </w:r>
          </w:p>
        </w:tc>
        <w:tc>
          <w:tcPr>
            <w:tcW w:w="1134" w:type="dxa"/>
            <w:vMerge/>
            <w:vAlign w:val="center"/>
          </w:tcPr>
          <w:p w14:paraId="3AE49CE4"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6F63B576" w14:textId="77777777" w:rsidR="00425E57" w:rsidRPr="0095215C" w:rsidRDefault="00425E57" w:rsidP="00E12B44">
            <w:pPr>
              <w:jc w:val="center"/>
              <w:rPr>
                <w:lang w:val="en-GB"/>
              </w:rPr>
            </w:pPr>
          </w:p>
        </w:tc>
        <w:tc>
          <w:tcPr>
            <w:tcW w:w="1134" w:type="dxa"/>
            <w:vMerge/>
            <w:vAlign w:val="center"/>
          </w:tcPr>
          <w:p w14:paraId="5F355984"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1CB7FB24" w14:textId="77777777" w:rsidR="00425E57" w:rsidRPr="0095215C" w:rsidRDefault="00425E57" w:rsidP="00E12B44">
            <w:pPr>
              <w:snapToGrid w:val="0"/>
              <w:rPr>
                <w:rFonts w:eastAsia="Times New Roman"/>
                <w:color w:val="000000" w:themeColor="dark1"/>
                <w:kern w:val="24"/>
                <w:lang w:val="en-GB" w:eastAsia="zh-HK"/>
              </w:rPr>
            </w:pPr>
          </w:p>
        </w:tc>
      </w:tr>
      <w:tr w:rsidR="00425E57" w:rsidRPr="0095215C" w14:paraId="1C97525E" w14:textId="77777777" w:rsidTr="0095215C">
        <w:trPr>
          <w:trHeight w:val="375"/>
        </w:trPr>
        <w:tc>
          <w:tcPr>
            <w:tcW w:w="658" w:type="dxa"/>
            <w:vAlign w:val="center"/>
          </w:tcPr>
          <w:p w14:paraId="47E22EEB" w14:textId="77777777" w:rsidR="00425E57" w:rsidRPr="0095215C" w:rsidRDefault="00425E57" w:rsidP="00E12B44">
            <w:pPr>
              <w:snapToGrid w:val="0"/>
              <w:jc w:val="center"/>
              <w:rPr>
                <w:rFonts w:eastAsia="Times New Roman"/>
                <w:color w:val="000000" w:themeColor="dark1"/>
                <w:kern w:val="24"/>
                <w:lang w:val="en-GB" w:eastAsia="zh-HK"/>
              </w:rPr>
            </w:pPr>
            <w:r w:rsidRPr="0095215C">
              <w:rPr>
                <w:rFonts w:eastAsia="Times New Roman"/>
                <w:color w:val="000000" w:themeColor="dark1"/>
                <w:kern w:val="24"/>
                <w:lang w:val="en-GB" w:eastAsia="zh-HK"/>
              </w:rPr>
              <w:t>3188</w:t>
            </w:r>
          </w:p>
        </w:tc>
        <w:tc>
          <w:tcPr>
            <w:tcW w:w="3543" w:type="dxa"/>
            <w:vAlign w:val="center"/>
          </w:tcPr>
          <w:p w14:paraId="4B2ED153" w14:textId="77777777" w:rsidR="00425E57" w:rsidRPr="0095215C" w:rsidRDefault="00425E57" w:rsidP="00E12B44">
            <w:pPr>
              <w:snapToGrid w:val="0"/>
              <w:rPr>
                <w:rFonts w:eastAsia="Times New Roman"/>
                <w:color w:val="000000" w:themeColor="dark1"/>
                <w:kern w:val="24"/>
                <w:lang w:val="en-GB" w:eastAsia="zh-HK"/>
              </w:rPr>
            </w:pPr>
            <w:r w:rsidRPr="0095215C">
              <w:rPr>
                <w:rFonts w:eastAsia="Times New Roman"/>
                <w:color w:val="000000" w:themeColor="dark1"/>
                <w:kern w:val="24"/>
                <w:lang w:val="en-GB" w:eastAsia="zh-HK"/>
              </w:rPr>
              <w:t>China AMC CSI300 Index ETF</w:t>
            </w:r>
          </w:p>
        </w:tc>
        <w:tc>
          <w:tcPr>
            <w:tcW w:w="1134" w:type="dxa"/>
            <w:vMerge/>
            <w:vAlign w:val="center"/>
          </w:tcPr>
          <w:p w14:paraId="5E2142D4" w14:textId="77777777" w:rsidR="00425E57" w:rsidRPr="0095215C" w:rsidRDefault="00425E57" w:rsidP="00E12B44">
            <w:pPr>
              <w:snapToGrid w:val="0"/>
              <w:rPr>
                <w:rFonts w:eastAsia="Times New Roman"/>
                <w:color w:val="000000" w:themeColor="dark1"/>
                <w:kern w:val="24"/>
                <w:lang w:val="en-GB" w:eastAsia="zh-HK"/>
              </w:rPr>
            </w:pPr>
          </w:p>
        </w:tc>
        <w:tc>
          <w:tcPr>
            <w:tcW w:w="1134" w:type="dxa"/>
            <w:vMerge/>
          </w:tcPr>
          <w:p w14:paraId="3D0DAB83" w14:textId="77777777" w:rsidR="00425E57" w:rsidRPr="0095215C" w:rsidRDefault="00425E57" w:rsidP="00E12B44">
            <w:pPr>
              <w:jc w:val="center"/>
              <w:rPr>
                <w:lang w:val="en-GB"/>
              </w:rPr>
            </w:pPr>
          </w:p>
        </w:tc>
        <w:tc>
          <w:tcPr>
            <w:tcW w:w="1134" w:type="dxa"/>
            <w:vMerge/>
            <w:vAlign w:val="center"/>
          </w:tcPr>
          <w:p w14:paraId="50799B07" w14:textId="77777777" w:rsidR="00425E57" w:rsidRPr="0095215C" w:rsidRDefault="00425E57" w:rsidP="00E12B44">
            <w:pPr>
              <w:snapToGrid w:val="0"/>
              <w:jc w:val="center"/>
              <w:rPr>
                <w:rFonts w:eastAsia="Times New Roman"/>
                <w:color w:val="000000" w:themeColor="dark1"/>
                <w:kern w:val="24"/>
                <w:lang w:val="en-GB" w:eastAsia="zh-HK"/>
              </w:rPr>
            </w:pPr>
          </w:p>
        </w:tc>
        <w:tc>
          <w:tcPr>
            <w:tcW w:w="1701" w:type="dxa"/>
            <w:vMerge/>
          </w:tcPr>
          <w:p w14:paraId="643D3E99" w14:textId="77777777" w:rsidR="00425E57" w:rsidRPr="0095215C" w:rsidRDefault="00425E57" w:rsidP="00E12B44">
            <w:pPr>
              <w:snapToGrid w:val="0"/>
              <w:rPr>
                <w:rFonts w:eastAsia="Times New Roman"/>
                <w:color w:val="000000" w:themeColor="dark1"/>
                <w:kern w:val="24"/>
                <w:lang w:val="en-GB" w:eastAsia="zh-HK"/>
              </w:rPr>
            </w:pPr>
          </w:p>
        </w:tc>
      </w:tr>
    </w:tbl>
    <w:p w14:paraId="743FB15E" w14:textId="0BE612CE" w:rsidR="00425E57" w:rsidRPr="00203B0C" w:rsidRDefault="006030AC" w:rsidP="00015C48">
      <w:pPr>
        <w:ind w:leftChars="141" w:left="282"/>
        <w:jc w:val="both"/>
      </w:pPr>
      <w:r w:rsidRPr="00203B0C">
        <w:t>Note: LP shall not be required to fulfil liquidity providing requirements during the first five minutes of each morning trading session.</w:t>
      </w:r>
    </w:p>
    <w:p w14:paraId="75AFE580" w14:textId="77777777" w:rsidR="006030AC" w:rsidRPr="008B562D" w:rsidRDefault="006030AC" w:rsidP="00425E57">
      <w:pPr>
        <w:jc w:val="both"/>
      </w:pPr>
    </w:p>
    <w:p w14:paraId="4A845F74" w14:textId="77777777" w:rsidR="00425E57" w:rsidRPr="008B562D" w:rsidRDefault="00425E57" w:rsidP="00425E57">
      <w:pPr>
        <w:pStyle w:val="ListParagraph"/>
        <w:numPr>
          <w:ilvl w:val="0"/>
          <w:numId w:val="10"/>
        </w:numPr>
        <w:snapToGrid w:val="0"/>
        <w:ind w:leftChars="0"/>
        <w:jc w:val="both"/>
        <w:rPr>
          <w:rFonts w:ascii="Arial" w:hAnsi="Arial" w:cs="Arial"/>
          <w:sz w:val="20"/>
          <w:szCs w:val="20"/>
        </w:rPr>
      </w:pPr>
      <w:r w:rsidRPr="008B562D">
        <w:rPr>
          <w:rFonts w:ascii="Arial" w:hAnsi="Arial" w:cs="Arial"/>
          <w:sz w:val="20"/>
          <w:szCs w:val="20"/>
        </w:rPr>
        <w:t>LP will be entitled to the following incentives:</w:t>
      </w:r>
    </w:p>
    <w:p w14:paraId="534ECC2B" w14:textId="77777777" w:rsidR="00425E57" w:rsidRPr="008B562D" w:rsidRDefault="00425E57" w:rsidP="00425E57">
      <w:pPr>
        <w:jc w:val="both"/>
      </w:pPr>
    </w:p>
    <w:p w14:paraId="10FB5E19" w14:textId="34471B75" w:rsidR="00425E57" w:rsidRDefault="00B7196D" w:rsidP="00425E57">
      <w:pPr>
        <w:pStyle w:val="ListParagraph"/>
        <w:numPr>
          <w:ilvl w:val="0"/>
          <w:numId w:val="7"/>
        </w:numPr>
        <w:ind w:leftChars="0"/>
        <w:jc w:val="both"/>
        <w:rPr>
          <w:rFonts w:ascii="Arial" w:hAnsi="Arial" w:cs="Arial"/>
          <w:sz w:val="20"/>
          <w:szCs w:val="20"/>
        </w:rPr>
      </w:pPr>
      <w:r>
        <w:rPr>
          <w:rFonts w:ascii="Arial" w:hAnsi="Arial" w:cs="Arial"/>
          <w:sz w:val="20"/>
          <w:szCs w:val="20"/>
        </w:rPr>
        <w:t>Discount in t</w:t>
      </w:r>
      <w:r w:rsidR="00425E57" w:rsidRPr="008B562D">
        <w:rPr>
          <w:rFonts w:ascii="Arial" w:hAnsi="Arial" w:cs="Arial"/>
          <w:sz w:val="20"/>
          <w:szCs w:val="20"/>
        </w:rPr>
        <w:t xml:space="preserve">rading fee </w:t>
      </w:r>
      <w:r w:rsidR="00CE5635" w:rsidRPr="008B562D">
        <w:rPr>
          <w:rFonts w:ascii="Arial" w:hAnsi="Arial" w:cs="Arial"/>
          <w:sz w:val="20"/>
          <w:szCs w:val="20"/>
        </w:rPr>
        <w:t>if the LP obligation is fulfilled</w:t>
      </w:r>
      <w:r>
        <w:rPr>
          <w:rFonts w:ascii="Arial" w:hAnsi="Arial" w:cs="Arial"/>
          <w:sz w:val="20"/>
          <w:szCs w:val="20"/>
        </w:rPr>
        <w:t>;</w:t>
      </w:r>
      <w:r w:rsidR="00425E57" w:rsidRPr="008B562D">
        <w:rPr>
          <w:rFonts w:ascii="Arial" w:hAnsi="Arial" w:cs="Arial"/>
          <w:sz w:val="20"/>
          <w:szCs w:val="20"/>
        </w:rPr>
        <w:t xml:space="preserve">  </w:t>
      </w:r>
    </w:p>
    <w:p w14:paraId="3BADBD47" w14:textId="77777777" w:rsidR="00B7196D" w:rsidRDefault="00B7196D" w:rsidP="00FB6F07">
      <w:pPr>
        <w:pStyle w:val="ListParagraph"/>
        <w:ind w:leftChars="0" w:left="840"/>
        <w:jc w:val="both"/>
        <w:rPr>
          <w:rFonts w:ascii="Arial" w:hAnsi="Arial" w:cs="Arial"/>
          <w:sz w:val="20"/>
          <w:szCs w:val="20"/>
        </w:rPr>
      </w:pPr>
    </w:p>
    <w:tbl>
      <w:tblPr>
        <w:tblStyle w:val="TableGrid"/>
        <w:tblW w:w="6238" w:type="dxa"/>
        <w:tblInd w:w="995" w:type="dxa"/>
        <w:tblLayout w:type="fixed"/>
        <w:tblCellMar>
          <w:left w:w="28" w:type="dxa"/>
          <w:right w:w="28" w:type="dxa"/>
        </w:tblCellMar>
        <w:tblLook w:val="04A0" w:firstRow="1" w:lastRow="0" w:firstColumn="1" w:lastColumn="0" w:noHBand="0" w:noVBand="1"/>
      </w:tblPr>
      <w:tblGrid>
        <w:gridCol w:w="567"/>
        <w:gridCol w:w="2127"/>
        <w:gridCol w:w="1701"/>
        <w:gridCol w:w="1843"/>
      </w:tblGrid>
      <w:tr w:rsidR="00B7196D" w:rsidRPr="00B7196D" w14:paraId="088778DF" w14:textId="77777777" w:rsidTr="00FB6F07">
        <w:trPr>
          <w:trHeight w:val="200"/>
        </w:trPr>
        <w:tc>
          <w:tcPr>
            <w:tcW w:w="567" w:type="dxa"/>
            <w:vMerge w:val="restart"/>
            <w:shd w:val="clear" w:color="auto" w:fill="DAEEF3" w:themeFill="accent5" w:themeFillTint="33"/>
          </w:tcPr>
          <w:p w14:paraId="0E910118" w14:textId="77777777" w:rsidR="00B7196D" w:rsidRPr="00FB6F07" w:rsidRDefault="00B7196D" w:rsidP="00B7196D">
            <w:pPr>
              <w:jc w:val="center"/>
              <w:rPr>
                <w:lang w:eastAsia="zh-HK"/>
              </w:rPr>
            </w:pPr>
            <w:r w:rsidRPr="00FB6F07">
              <w:rPr>
                <w:lang w:eastAsia="zh-HK"/>
              </w:rPr>
              <w:t>Tier</w:t>
            </w:r>
          </w:p>
          <w:p w14:paraId="6BE3AD8A" w14:textId="77777777" w:rsidR="00B7196D" w:rsidRPr="00FB6F07" w:rsidRDefault="00B7196D" w:rsidP="00B7196D">
            <w:pPr>
              <w:jc w:val="center"/>
              <w:rPr>
                <w:lang w:eastAsia="zh-HK"/>
              </w:rPr>
            </w:pPr>
          </w:p>
        </w:tc>
        <w:tc>
          <w:tcPr>
            <w:tcW w:w="2127" w:type="dxa"/>
            <w:vMerge w:val="restart"/>
            <w:shd w:val="clear" w:color="auto" w:fill="DAEEF3" w:themeFill="accent5" w:themeFillTint="33"/>
          </w:tcPr>
          <w:p w14:paraId="18856D56" w14:textId="77777777" w:rsidR="00B7196D" w:rsidRPr="00FB6F07" w:rsidRDefault="00B7196D" w:rsidP="00B7196D">
            <w:pPr>
              <w:rPr>
                <w:lang w:eastAsia="zh-HK"/>
              </w:rPr>
            </w:pPr>
            <w:r w:rsidRPr="00FB6F07">
              <w:rPr>
                <w:lang w:eastAsia="zh-HK"/>
              </w:rPr>
              <w:t>Nominal Value Per Contract (in HK$)</w:t>
            </w:r>
          </w:p>
        </w:tc>
        <w:tc>
          <w:tcPr>
            <w:tcW w:w="3544" w:type="dxa"/>
            <w:gridSpan w:val="2"/>
            <w:shd w:val="clear" w:color="auto" w:fill="DAEEF3" w:themeFill="accent5" w:themeFillTint="33"/>
          </w:tcPr>
          <w:p w14:paraId="3DF559EC" w14:textId="700431D9" w:rsidR="00B7196D" w:rsidRPr="00FB6F07" w:rsidRDefault="00B7196D">
            <w:pPr>
              <w:jc w:val="center"/>
            </w:pPr>
            <w:r w:rsidRPr="00FB6F07">
              <w:rPr>
                <w:lang w:eastAsia="zh-HK"/>
              </w:rPr>
              <w:t>Trading Fee Per Contract (in HK$)</w:t>
            </w:r>
          </w:p>
        </w:tc>
      </w:tr>
      <w:tr w:rsidR="00B7196D" w:rsidRPr="00B7196D" w14:paraId="60A16235" w14:textId="77777777" w:rsidTr="00FB6F07">
        <w:trPr>
          <w:trHeight w:val="323"/>
        </w:trPr>
        <w:tc>
          <w:tcPr>
            <w:tcW w:w="567" w:type="dxa"/>
            <w:vMerge/>
            <w:vAlign w:val="center"/>
          </w:tcPr>
          <w:p w14:paraId="153E5503" w14:textId="77777777" w:rsidR="00B7196D" w:rsidRPr="00B7196D" w:rsidRDefault="00B7196D" w:rsidP="00B7196D">
            <w:pPr>
              <w:jc w:val="center"/>
              <w:rPr>
                <w:lang w:eastAsia="zh-HK"/>
              </w:rPr>
            </w:pPr>
          </w:p>
        </w:tc>
        <w:tc>
          <w:tcPr>
            <w:tcW w:w="2127" w:type="dxa"/>
            <w:vMerge/>
            <w:vAlign w:val="center"/>
          </w:tcPr>
          <w:p w14:paraId="13501C8C" w14:textId="77777777" w:rsidR="00B7196D" w:rsidRPr="00B7196D" w:rsidRDefault="00B7196D" w:rsidP="00B7196D">
            <w:pPr>
              <w:rPr>
                <w:lang w:eastAsia="zh-HK"/>
              </w:rPr>
            </w:pPr>
          </w:p>
        </w:tc>
        <w:tc>
          <w:tcPr>
            <w:tcW w:w="1701" w:type="dxa"/>
            <w:shd w:val="clear" w:color="auto" w:fill="DAEEF3" w:themeFill="accent5" w:themeFillTint="33"/>
            <w:vAlign w:val="center"/>
          </w:tcPr>
          <w:p w14:paraId="0363F324" w14:textId="2A416266" w:rsidR="00B7196D" w:rsidRPr="00B7196D" w:rsidRDefault="00B7196D" w:rsidP="00B7196D">
            <w:pPr>
              <w:jc w:val="center"/>
            </w:pPr>
            <w:r>
              <w:t>Standard</w:t>
            </w:r>
          </w:p>
        </w:tc>
        <w:tc>
          <w:tcPr>
            <w:tcW w:w="1843" w:type="dxa"/>
            <w:shd w:val="clear" w:color="auto" w:fill="DAEEF3" w:themeFill="accent5" w:themeFillTint="33"/>
            <w:vAlign w:val="center"/>
          </w:tcPr>
          <w:p w14:paraId="2C735C1C" w14:textId="2968A00C" w:rsidR="00B7196D" w:rsidRPr="00B7196D" w:rsidRDefault="00B7196D" w:rsidP="00B7196D">
            <w:pPr>
              <w:jc w:val="center"/>
            </w:pPr>
            <w:r>
              <w:t>Liquidity Provider</w:t>
            </w:r>
          </w:p>
        </w:tc>
      </w:tr>
      <w:tr w:rsidR="00B7196D" w:rsidRPr="00B7196D" w14:paraId="1B39A969" w14:textId="77777777" w:rsidTr="00FB6F07">
        <w:trPr>
          <w:trHeight w:val="321"/>
        </w:trPr>
        <w:tc>
          <w:tcPr>
            <w:tcW w:w="567" w:type="dxa"/>
            <w:vAlign w:val="center"/>
          </w:tcPr>
          <w:p w14:paraId="53D3E2E2" w14:textId="77777777" w:rsidR="00B7196D" w:rsidRPr="00FB6F07" w:rsidRDefault="00B7196D" w:rsidP="00B7196D">
            <w:pPr>
              <w:jc w:val="center"/>
              <w:rPr>
                <w:lang w:eastAsia="zh-HK"/>
              </w:rPr>
            </w:pPr>
            <w:r w:rsidRPr="00FB6F07">
              <w:rPr>
                <w:lang w:eastAsia="zh-HK"/>
              </w:rPr>
              <w:t>1</w:t>
            </w:r>
          </w:p>
        </w:tc>
        <w:tc>
          <w:tcPr>
            <w:tcW w:w="2127" w:type="dxa"/>
            <w:vAlign w:val="center"/>
          </w:tcPr>
          <w:p w14:paraId="02B3D611" w14:textId="77777777" w:rsidR="00B7196D" w:rsidRPr="00FB6F07" w:rsidRDefault="00B7196D" w:rsidP="00B7196D">
            <w:r w:rsidRPr="00FB6F07">
              <w:rPr>
                <w:lang w:eastAsia="zh-HK"/>
              </w:rPr>
              <w:t>&gt;$25,000</w:t>
            </w:r>
          </w:p>
        </w:tc>
        <w:tc>
          <w:tcPr>
            <w:tcW w:w="1701" w:type="dxa"/>
            <w:vAlign w:val="center"/>
          </w:tcPr>
          <w:p w14:paraId="6ABCEF76" w14:textId="77777777" w:rsidR="00B7196D" w:rsidRPr="00FB6F07" w:rsidRDefault="00B7196D" w:rsidP="00B7196D">
            <w:pPr>
              <w:jc w:val="center"/>
            </w:pPr>
            <w:r w:rsidRPr="00FB6F07">
              <w:t>$3.00</w:t>
            </w:r>
          </w:p>
        </w:tc>
        <w:tc>
          <w:tcPr>
            <w:tcW w:w="1843" w:type="dxa"/>
            <w:vAlign w:val="center"/>
          </w:tcPr>
          <w:p w14:paraId="6D3B690A" w14:textId="77777777" w:rsidR="00B7196D" w:rsidRPr="00FB6F07" w:rsidRDefault="00B7196D" w:rsidP="00B7196D">
            <w:pPr>
              <w:jc w:val="center"/>
            </w:pPr>
            <w:r w:rsidRPr="00FB6F07">
              <w:t>$0.50</w:t>
            </w:r>
          </w:p>
        </w:tc>
      </w:tr>
      <w:tr w:rsidR="00B7196D" w:rsidRPr="00B7196D" w14:paraId="7344F144" w14:textId="77777777" w:rsidTr="00FB6F07">
        <w:trPr>
          <w:trHeight w:val="285"/>
        </w:trPr>
        <w:tc>
          <w:tcPr>
            <w:tcW w:w="567" w:type="dxa"/>
            <w:vAlign w:val="center"/>
          </w:tcPr>
          <w:p w14:paraId="0E24CF87" w14:textId="77777777" w:rsidR="00B7196D" w:rsidRPr="00FB6F07" w:rsidRDefault="00B7196D" w:rsidP="00B7196D">
            <w:pPr>
              <w:tabs>
                <w:tab w:val="num" w:pos="993"/>
              </w:tabs>
              <w:adjustRightInd w:val="0"/>
              <w:snapToGrid w:val="0"/>
              <w:ind w:firstLine="20"/>
              <w:jc w:val="center"/>
              <w:rPr>
                <w:lang w:eastAsia="zh-HK"/>
              </w:rPr>
            </w:pPr>
            <w:r w:rsidRPr="00FB6F07">
              <w:rPr>
                <w:lang w:eastAsia="zh-HK"/>
              </w:rPr>
              <w:t>2</w:t>
            </w:r>
          </w:p>
        </w:tc>
        <w:tc>
          <w:tcPr>
            <w:tcW w:w="2127" w:type="dxa"/>
            <w:vAlign w:val="center"/>
          </w:tcPr>
          <w:p w14:paraId="353A323B" w14:textId="77777777" w:rsidR="00B7196D" w:rsidRPr="00FB6F07" w:rsidRDefault="00B7196D" w:rsidP="00B7196D">
            <w:pPr>
              <w:tabs>
                <w:tab w:val="num" w:pos="993"/>
              </w:tabs>
              <w:adjustRightInd w:val="0"/>
              <w:snapToGrid w:val="0"/>
              <w:ind w:firstLine="20"/>
            </w:pPr>
            <w:r w:rsidRPr="00FB6F07">
              <w:rPr>
                <w:lang w:eastAsia="zh-HK"/>
              </w:rPr>
              <w:t>&gt;$10,000 – $25,000</w:t>
            </w:r>
          </w:p>
        </w:tc>
        <w:tc>
          <w:tcPr>
            <w:tcW w:w="1701" w:type="dxa"/>
            <w:vAlign w:val="center"/>
          </w:tcPr>
          <w:p w14:paraId="0698A86B" w14:textId="77777777" w:rsidR="00B7196D" w:rsidRPr="00FB6F07" w:rsidRDefault="00B7196D" w:rsidP="00B7196D">
            <w:pPr>
              <w:jc w:val="center"/>
            </w:pPr>
            <w:r w:rsidRPr="00FB6F07">
              <w:t>$1.00</w:t>
            </w:r>
          </w:p>
        </w:tc>
        <w:tc>
          <w:tcPr>
            <w:tcW w:w="1843" w:type="dxa"/>
            <w:vAlign w:val="center"/>
          </w:tcPr>
          <w:p w14:paraId="2981CA91" w14:textId="77777777" w:rsidR="00B7196D" w:rsidRPr="00FB6F07" w:rsidRDefault="00B7196D" w:rsidP="00B7196D">
            <w:pPr>
              <w:jc w:val="center"/>
            </w:pPr>
            <w:r w:rsidRPr="00FB6F07">
              <w:t>$0.15</w:t>
            </w:r>
          </w:p>
        </w:tc>
      </w:tr>
      <w:tr w:rsidR="00B7196D" w:rsidRPr="00B7196D" w14:paraId="64A84381" w14:textId="77777777" w:rsidTr="00FB6F07">
        <w:trPr>
          <w:trHeight w:val="261"/>
        </w:trPr>
        <w:tc>
          <w:tcPr>
            <w:tcW w:w="567" w:type="dxa"/>
            <w:vAlign w:val="center"/>
          </w:tcPr>
          <w:p w14:paraId="36E8C0AE" w14:textId="77777777" w:rsidR="00B7196D" w:rsidRPr="00FB6F07" w:rsidRDefault="00B7196D" w:rsidP="00B7196D">
            <w:pPr>
              <w:jc w:val="center"/>
              <w:rPr>
                <w:lang w:eastAsia="zh-HK"/>
              </w:rPr>
            </w:pPr>
            <w:r w:rsidRPr="00FB6F07">
              <w:rPr>
                <w:lang w:eastAsia="zh-HK"/>
              </w:rPr>
              <w:t>3</w:t>
            </w:r>
          </w:p>
        </w:tc>
        <w:tc>
          <w:tcPr>
            <w:tcW w:w="2127" w:type="dxa"/>
            <w:vAlign w:val="center"/>
          </w:tcPr>
          <w:p w14:paraId="1A349A2C" w14:textId="77777777" w:rsidR="00B7196D" w:rsidRPr="00FB6F07" w:rsidRDefault="00B7196D" w:rsidP="00B7196D">
            <w:r w:rsidRPr="00FB6F07">
              <w:rPr>
                <w:lang w:eastAsia="zh-HK"/>
              </w:rPr>
              <w:sym w:font="Symbol" w:char="F0A3"/>
            </w:r>
            <w:r w:rsidRPr="00FB6F07">
              <w:rPr>
                <w:lang w:eastAsia="zh-HK"/>
              </w:rPr>
              <w:t xml:space="preserve"> $10,000</w:t>
            </w:r>
          </w:p>
        </w:tc>
        <w:tc>
          <w:tcPr>
            <w:tcW w:w="1701" w:type="dxa"/>
            <w:vAlign w:val="center"/>
          </w:tcPr>
          <w:p w14:paraId="7EFED1D4" w14:textId="77777777" w:rsidR="00B7196D" w:rsidRPr="00FB6F07" w:rsidRDefault="00B7196D" w:rsidP="00B7196D">
            <w:pPr>
              <w:jc w:val="center"/>
            </w:pPr>
            <w:r w:rsidRPr="00FB6F07">
              <w:t>$0.50</w:t>
            </w:r>
          </w:p>
        </w:tc>
        <w:tc>
          <w:tcPr>
            <w:tcW w:w="1843" w:type="dxa"/>
            <w:vAlign w:val="center"/>
          </w:tcPr>
          <w:p w14:paraId="10C4B033" w14:textId="77777777" w:rsidR="00B7196D" w:rsidRPr="00FB6F07" w:rsidRDefault="00B7196D" w:rsidP="00B7196D">
            <w:pPr>
              <w:jc w:val="center"/>
            </w:pPr>
            <w:r w:rsidRPr="00FB6F07">
              <w:t>$0.07</w:t>
            </w:r>
          </w:p>
        </w:tc>
      </w:tr>
    </w:tbl>
    <w:p w14:paraId="16559BB5" w14:textId="77777777" w:rsidR="00425E57" w:rsidRPr="008B562D" w:rsidRDefault="00425E57" w:rsidP="00425E57">
      <w:pPr>
        <w:pStyle w:val="ListParagraph"/>
        <w:ind w:leftChars="0" w:left="840"/>
        <w:jc w:val="both"/>
        <w:rPr>
          <w:rFonts w:ascii="Arial" w:hAnsi="Arial" w:cs="Arial"/>
          <w:sz w:val="20"/>
          <w:szCs w:val="20"/>
        </w:rPr>
      </w:pPr>
    </w:p>
    <w:p w14:paraId="6D433230" w14:textId="77777777" w:rsidR="00425E57" w:rsidRDefault="00425E57" w:rsidP="00425E57">
      <w:pPr>
        <w:pStyle w:val="ListParagraph"/>
        <w:numPr>
          <w:ilvl w:val="0"/>
          <w:numId w:val="7"/>
        </w:numPr>
        <w:ind w:leftChars="0"/>
        <w:jc w:val="both"/>
        <w:rPr>
          <w:rFonts w:ascii="Arial" w:hAnsi="Arial" w:cs="Arial"/>
          <w:sz w:val="20"/>
          <w:szCs w:val="20"/>
        </w:rPr>
      </w:pPr>
      <w:r w:rsidRPr="008B562D">
        <w:rPr>
          <w:rFonts w:ascii="Arial" w:hAnsi="Arial" w:cs="Arial"/>
          <w:sz w:val="20"/>
          <w:szCs w:val="20"/>
        </w:rPr>
        <w:t xml:space="preserve">Waiver of </w:t>
      </w:r>
      <w:r w:rsidRPr="008B562D">
        <w:rPr>
          <w:rFonts w:ascii="Arial" w:hAnsi="Arial" w:cs="Arial"/>
          <w:sz w:val="20"/>
          <w:szCs w:val="20"/>
          <w:u w:val="single"/>
        </w:rPr>
        <w:t>two</w:t>
      </w:r>
      <w:r w:rsidRPr="008B562D">
        <w:rPr>
          <w:rFonts w:ascii="Arial" w:hAnsi="Arial" w:cs="Arial"/>
          <w:sz w:val="20"/>
          <w:szCs w:val="20"/>
        </w:rPr>
        <w:t xml:space="preserve"> </w:t>
      </w:r>
      <w:proofErr w:type="spellStart"/>
      <w:r w:rsidRPr="008B562D">
        <w:rPr>
          <w:rFonts w:ascii="Arial" w:hAnsi="Arial" w:cs="Arial"/>
          <w:sz w:val="20"/>
          <w:szCs w:val="20"/>
        </w:rPr>
        <w:t>OMnet</w:t>
      </w:r>
      <w:proofErr w:type="spellEnd"/>
      <w:r w:rsidRPr="008B562D">
        <w:rPr>
          <w:rFonts w:ascii="Arial" w:hAnsi="Arial" w:cs="Arial"/>
          <w:sz w:val="20"/>
          <w:szCs w:val="20"/>
        </w:rPr>
        <w:t xml:space="preserve"> Application Programming Interface (OAPI) monthly sub-licence fee (i.e. HK$5,200 per month or equivalent) per selected stock futures contract; and</w:t>
      </w:r>
    </w:p>
    <w:p w14:paraId="241C8698" w14:textId="77777777" w:rsidR="00F8538A" w:rsidRPr="008B562D" w:rsidRDefault="00F8538A" w:rsidP="00FB6F07">
      <w:pPr>
        <w:pStyle w:val="ListParagraph"/>
        <w:ind w:leftChars="0" w:left="840"/>
        <w:jc w:val="both"/>
        <w:rPr>
          <w:rFonts w:ascii="Arial" w:hAnsi="Arial" w:cs="Arial"/>
          <w:sz w:val="20"/>
          <w:szCs w:val="20"/>
        </w:rPr>
      </w:pPr>
    </w:p>
    <w:p w14:paraId="245D99D0" w14:textId="26F52368" w:rsidR="00425E57" w:rsidRPr="008B562D" w:rsidRDefault="00425E57" w:rsidP="00FB6F07">
      <w:pPr>
        <w:pStyle w:val="ListParagraph"/>
        <w:widowControl/>
        <w:numPr>
          <w:ilvl w:val="0"/>
          <w:numId w:val="7"/>
        </w:numPr>
        <w:ind w:leftChars="0" w:left="851" w:hanging="425"/>
        <w:jc w:val="both"/>
      </w:pPr>
      <w:r w:rsidRPr="008B562D">
        <w:rPr>
          <w:rFonts w:ascii="Arial" w:hAnsi="Arial" w:cs="Arial"/>
          <w:sz w:val="20"/>
          <w:szCs w:val="20"/>
        </w:rPr>
        <w:t xml:space="preserve">Waiver of one-off fee for applying for an increase in the Central Gateway throughput rate  (Securities Throttle) by </w:t>
      </w:r>
      <w:r w:rsidRPr="00BA3C52">
        <w:rPr>
          <w:rFonts w:ascii="Arial" w:hAnsi="Arial" w:cs="Arial"/>
          <w:sz w:val="20"/>
          <w:szCs w:val="20"/>
        </w:rPr>
        <w:t>one</w:t>
      </w:r>
      <w:r w:rsidRPr="008B562D">
        <w:rPr>
          <w:rFonts w:ascii="Arial" w:hAnsi="Arial" w:cs="Arial"/>
          <w:sz w:val="20"/>
          <w:szCs w:val="20"/>
        </w:rPr>
        <w:t xml:space="preserve"> standard Securities Throttle rate</w:t>
      </w:r>
      <w:r w:rsidRPr="00BA3C52">
        <w:rPr>
          <w:vertAlign w:val="superscript"/>
        </w:rPr>
        <w:footnoteReference w:id="2"/>
      </w:r>
      <w:r w:rsidRPr="008B562D">
        <w:rPr>
          <w:rFonts w:ascii="Arial" w:hAnsi="Arial" w:cs="Arial"/>
          <w:sz w:val="20"/>
          <w:szCs w:val="20"/>
        </w:rPr>
        <w:t xml:space="preserve"> (i.e. HK$50,000) per selected stock futures contract.</w:t>
      </w:r>
    </w:p>
    <w:p w14:paraId="35E2995A" w14:textId="77777777" w:rsidR="00425E57" w:rsidRPr="008B562D" w:rsidRDefault="00425E57" w:rsidP="00425E57">
      <w:pPr>
        <w:pageBreakBefore/>
        <w:snapToGrid w:val="0"/>
        <w:jc w:val="right"/>
      </w:pPr>
      <w:r w:rsidRPr="008B562D">
        <w:t>Attachment III</w:t>
      </w:r>
    </w:p>
    <w:p w14:paraId="5121F4E6" w14:textId="77777777" w:rsidR="00425E57" w:rsidRPr="008B562D" w:rsidRDefault="00425E57" w:rsidP="00425E57">
      <w:pPr>
        <w:snapToGrid w:val="0"/>
        <w:jc w:val="both"/>
        <w:rPr>
          <w:b/>
          <w:u w:val="single"/>
        </w:rPr>
      </w:pPr>
      <w:r w:rsidRPr="008B562D">
        <w:rPr>
          <w:b/>
          <w:u w:val="single"/>
        </w:rPr>
        <w:t>Proprietary Trader Program</w:t>
      </w:r>
    </w:p>
    <w:p w14:paraId="1EBD0847" w14:textId="77777777" w:rsidR="00425E57" w:rsidRPr="00967651" w:rsidRDefault="00425E57" w:rsidP="00425E57">
      <w:pPr>
        <w:snapToGrid w:val="0"/>
        <w:rPr>
          <w:sz w:val="14"/>
        </w:rPr>
      </w:pPr>
    </w:p>
    <w:p w14:paraId="54F354C6" w14:textId="065EB255" w:rsidR="00425E57" w:rsidRPr="008B562D" w:rsidRDefault="00425E57" w:rsidP="00425E57">
      <w:pPr>
        <w:pStyle w:val="ListParagraph"/>
        <w:widowControl/>
        <w:numPr>
          <w:ilvl w:val="0"/>
          <w:numId w:val="14"/>
        </w:numPr>
        <w:ind w:leftChars="0"/>
        <w:jc w:val="both"/>
        <w:rPr>
          <w:rFonts w:ascii="Arial" w:hAnsi="Arial" w:cs="Arial"/>
          <w:sz w:val="20"/>
          <w:szCs w:val="20"/>
        </w:rPr>
      </w:pPr>
      <w:r w:rsidRPr="008B562D">
        <w:rPr>
          <w:rFonts w:ascii="Arial" w:hAnsi="Arial" w:cs="Arial"/>
          <w:sz w:val="20"/>
          <w:szCs w:val="20"/>
        </w:rPr>
        <w:t xml:space="preserve">Reference is made to the circular (Ref: </w:t>
      </w:r>
      <w:hyperlink r:id="rId22" w:history="1">
        <w:r w:rsidRPr="008B562D">
          <w:rPr>
            <w:rStyle w:val="Hyperlink"/>
            <w:rFonts w:ascii="Arial" w:hAnsi="Arial" w:cs="Arial"/>
            <w:sz w:val="20"/>
            <w:szCs w:val="20"/>
          </w:rPr>
          <w:t>MKD/EQD/30/17</w:t>
        </w:r>
      </w:hyperlink>
      <w:r w:rsidRPr="008B562D">
        <w:rPr>
          <w:rFonts w:ascii="Arial" w:hAnsi="Arial" w:cs="Arial"/>
          <w:sz w:val="20"/>
          <w:szCs w:val="20"/>
        </w:rPr>
        <w:t>) dated 15 December 2017 on the incentives program for equity derivatives products</w:t>
      </w:r>
      <w:r w:rsidR="00CE5635" w:rsidRPr="008B562D">
        <w:rPr>
          <w:rFonts w:ascii="Arial" w:hAnsi="Arial" w:cs="Arial"/>
          <w:sz w:val="20"/>
          <w:szCs w:val="20"/>
        </w:rPr>
        <w:t>.</w:t>
      </w:r>
      <w:r w:rsidRPr="008B562D">
        <w:rPr>
          <w:rFonts w:ascii="Arial" w:hAnsi="Arial" w:cs="Arial"/>
          <w:sz w:val="20"/>
          <w:szCs w:val="20"/>
        </w:rPr>
        <w:t xml:space="preserve"> </w:t>
      </w:r>
      <w:r w:rsidR="00CE5635" w:rsidRPr="008B562D">
        <w:rPr>
          <w:rFonts w:ascii="Arial" w:hAnsi="Arial" w:cs="Arial"/>
          <w:sz w:val="20"/>
          <w:szCs w:val="20"/>
        </w:rPr>
        <w:t>P</w:t>
      </w:r>
      <w:r w:rsidRPr="008B562D">
        <w:rPr>
          <w:rFonts w:ascii="Arial" w:hAnsi="Arial" w:cs="Arial"/>
          <w:sz w:val="20"/>
          <w:szCs w:val="20"/>
        </w:rPr>
        <w:t>lease note that the obligations of Proprietary Trader for 10 selected stock futures (Stock Futures Basket) shall be revised:</w:t>
      </w:r>
    </w:p>
    <w:p w14:paraId="160806A0" w14:textId="77777777" w:rsidR="00425E57" w:rsidRPr="008B562D" w:rsidRDefault="00425E57" w:rsidP="00425E57">
      <w:pPr>
        <w:pStyle w:val="ListParagraph"/>
        <w:widowControl/>
        <w:ind w:leftChars="0"/>
        <w:jc w:val="both"/>
        <w:rPr>
          <w:rFonts w:ascii="Arial" w:hAnsi="Arial" w:cs="Arial"/>
          <w:sz w:val="20"/>
          <w:szCs w:val="20"/>
        </w:rPr>
      </w:pPr>
    </w:p>
    <w:tbl>
      <w:tblPr>
        <w:tblStyle w:val="TableGrid"/>
        <w:tblW w:w="9072" w:type="dxa"/>
        <w:tblInd w:w="675" w:type="dxa"/>
        <w:tblLayout w:type="fixed"/>
        <w:tblCellMar>
          <w:top w:w="28" w:type="dxa"/>
          <w:left w:w="85" w:type="dxa"/>
          <w:bottom w:w="28" w:type="dxa"/>
          <w:right w:w="85" w:type="dxa"/>
        </w:tblCellMar>
        <w:tblLook w:val="0420" w:firstRow="1" w:lastRow="0" w:firstColumn="0" w:lastColumn="0" w:noHBand="0" w:noVBand="1"/>
      </w:tblPr>
      <w:tblGrid>
        <w:gridCol w:w="1111"/>
        <w:gridCol w:w="4418"/>
        <w:gridCol w:w="3543"/>
      </w:tblGrid>
      <w:tr w:rsidR="00425E57" w:rsidRPr="008B562D" w14:paraId="4AD12BEE" w14:textId="77777777" w:rsidTr="00203B0C">
        <w:trPr>
          <w:trHeight w:val="299"/>
          <w:tblHeader/>
        </w:trPr>
        <w:tc>
          <w:tcPr>
            <w:tcW w:w="1111" w:type="dxa"/>
            <w:vMerge w:val="restart"/>
            <w:shd w:val="clear" w:color="auto" w:fill="DAEEF3" w:themeFill="accent5" w:themeFillTint="33"/>
          </w:tcPr>
          <w:p w14:paraId="4CF2E1AB" w14:textId="77777777" w:rsidR="00425E57" w:rsidRPr="008B562D" w:rsidRDefault="00425E57" w:rsidP="00203B0C">
            <w:pPr>
              <w:jc w:val="both"/>
              <w:rPr>
                <w:rFonts w:eastAsia="新細明體"/>
                <w:kern w:val="2"/>
                <w:lang w:eastAsia="zh-TW"/>
              </w:rPr>
            </w:pPr>
            <w:r w:rsidRPr="008B562D">
              <w:rPr>
                <w:rFonts w:eastAsia="新細明體"/>
                <w:kern w:val="2"/>
                <w:lang w:eastAsia="zh-TW"/>
              </w:rPr>
              <w:t>PT Category</w:t>
            </w:r>
          </w:p>
        </w:tc>
        <w:tc>
          <w:tcPr>
            <w:tcW w:w="7961" w:type="dxa"/>
            <w:gridSpan w:val="2"/>
            <w:shd w:val="clear" w:color="auto" w:fill="DAEEF3" w:themeFill="accent5" w:themeFillTint="33"/>
            <w:vAlign w:val="center"/>
          </w:tcPr>
          <w:p w14:paraId="1CC84A25" w14:textId="77777777" w:rsidR="00425E57" w:rsidRPr="008B562D" w:rsidRDefault="00425E57" w:rsidP="00203B0C">
            <w:pPr>
              <w:jc w:val="both"/>
              <w:rPr>
                <w:rFonts w:eastAsia="新細明體"/>
                <w:kern w:val="2"/>
                <w:lang w:eastAsia="zh-TW"/>
              </w:rPr>
            </w:pPr>
            <w:r w:rsidRPr="008B562D">
              <w:rPr>
                <w:rFonts w:eastAsia="新細明體"/>
                <w:kern w:val="2"/>
                <w:lang w:eastAsia="zh-TW"/>
              </w:rPr>
              <w:t>Minimum Aggregated Monthly Clearing Volume of Stock Futures Basket</w:t>
            </w:r>
          </w:p>
        </w:tc>
      </w:tr>
      <w:tr w:rsidR="00425E57" w:rsidRPr="008B562D" w14:paraId="428A66DF" w14:textId="77777777" w:rsidTr="00203B0C">
        <w:trPr>
          <w:trHeight w:val="275"/>
          <w:tblHeader/>
        </w:trPr>
        <w:tc>
          <w:tcPr>
            <w:tcW w:w="1111" w:type="dxa"/>
            <w:vMerge/>
            <w:shd w:val="clear" w:color="auto" w:fill="DAEEF3" w:themeFill="accent5" w:themeFillTint="33"/>
            <w:vAlign w:val="center"/>
            <w:hideMark/>
          </w:tcPr>
          <w:p w14:paraId="558F3608" w14:textId="77777777" w:rsidR="00425E57" w:rsidRPr="008B562D" w:rsidRDefault="00425E57" w:rsidP="00203B0C">
            <w:pPr>
              <w:jc w:val="both"/>
              <w:rPr>
                <w:rFonts w:eastAsia="新細明體"/>
                <w:kern w:val="2"/>
                <w:lang w:eastAsia="zh-TW"/>
              </w:rPr>
            </w:pPr>
          </w:p>
        </w:tc>
        <w:tc>
          <w:tcPr>
            <w:tcW w:w="4418" w:type="dxa"/>
            <w:shd w:val="clear" w:color="auto" w:fill="DAEEF3" w:themeFill="accent5" w:themeFillTint="33"/>
            <w:vAlign w:val="center"/>
            <w:hideMark/>
          </w:tcPr>
          <w:p w14:paraId="7218B24F" w14:textId="77777777" w:rsidR="00425E57" w:rsidRPr="008B562D" w:rsidRDefault="00425E57" w:rsidP="00203B0C">
            <w:pPr>
              <w:jc w:val="both"/>
              <w:rPr>
                <w:rFonts w:eastAsia="新細明體"/>
                <w:kern w:val="2"/>
                <w:lang w:eastAsia="zh-TW"/>
              </w:rPr>
            </w:pPr>
            <w:r w:rsidRPr="008B562D">
              <w:rPr>
                <w:rFonts w:eastAsia="新細明體"/>
                <w:kern w:val="2"/>
                <w:lang w:eastAsia="zh-TW"/>
              </w:rPr>
              <w:t xml:space="preserve">Existing </w:t>
            </w:r>
          </w:p>
        </w:tc>
        <w:tc>
          <w:tcPr>
            <w:tcW w:w="3543" w:type="dxa"/>
            <w:shd w:val="clear" w:color="auto" w:fill="DAEEF3" w:themeFill="accent5" w:themeFillTint="33"/>
            <w:vAlign w:val="center"/>
          </w:tcPr>
          <w:p w14:paraId="387D85FF" w14:textId="77777777" w:rsidR="00425E57" w:rsidRPr="008B562D" w:rsidRDefault="00425E57" w:rsidP="00203B0C">
            <w:pPr>
              <w:jc w:val="both"/>
              <w:rPr>
                <w:rFonts w:eastAsia="新細明體"/>
                <w:kern w:val="2"/>
                <w:lang w:eastAsia="zh-TW"/>
              </w:rPr>
            </w:pPr>
            <w:r w:rsidRPr="008B562D">
              <w:rPr>
                <w:rFonts w:eastAsia="新細明體"/>
                <w:kern w:val="2"/>
                <w:lang w:eastAsia="zh-TW"/>
              </w:rPr>
              <w:t>New</w:t>
            </w:r>
          </w:p>
        </w:tc>
      </w:tr>
      <w:tr w:rsidR="00425E57" w:rsidRPr="008B562D" w14:paraId="5A028BDE" w14:textId="77777777" w:rsidTr="00203B0C">
        <w:trPr>
          <w:trHeight w:val="266"/>
        </w:trPr>
        <w:tc>
          <w:tcPr>
            <w:tcW w:w="1111" w:type="dxa"/>
            <w:vAlign w:val="center"/>
            <w:hideMark/>
          </w:tcPr>
          <w:p w14:paraId="52994DAE" w14:textId="77777777" w:rsidR="00425E57" w:rsidRPr="008B562D" w:rsidRDefault="00425E57" w:rsidP="00203B0C">
            <w:pPr>
              <w:jc w:val="both"/>
              <w:rPr>
                <w:rFonts w:eastAsia="新細明體"/>
                <w:kern w:val="2"/>
                <w:lang w:eastAsia="zh-TW"/>
              </w:rPr>
            </w:pPr>
            <w:r w:rsidRPr="008B562D">
              <w:rPr>
                <w:rFonts w:eastAsia="新細明體"/>
                <w:kern w:val="2"/>
                <w:lang w:eastAsia="zh-TW"/>
              </w:rPr>
              <w:t>Type 1</w:t>
            </w:r>
          </w:p>
        </w:tc>
        <w:tc>
          <w:tcPr>
            <w:tcW w:w="4418" w:type="dxa"/>
            <w:vAlign w:val="center"/>
            <w:hideMark/>
          </w:tcPr>
          <w:p w14:paraId="5E45EFCA" w14:textId="77777777" w:rsidR="00425E57" w:rsidRPr="008B562D" w:rsidRDefault="00425E57" w:rsidP="00203B0C">
            <w:pPr>
              <w:jc w:val="both"/>
              <w:rPr>
                <w:rFonts w:eastAsia="新細明體"/>
                <w:kern w:val="2"/>
                <w:lang w:eastAsia="zh-TW"/>
              </w:rPr>
            </w:pPr>
            <w:r w:rsidRPr="008B562D">
              <w:rPr>
                <w:rFonts w:eastAsia="新細明體"/>
                <w:kern w:val="2"/>
                <w:lang w:eastAsia="zh-TW"/>
              </w:rPr>
              <w:t>20,000 contracts</w:t>
            </w:r>
          </w:p>
        </w:tc>
        <w:tc>
          <w:tcPr>
            <w:tcW w:w="3543" w:type="dxa"/>
            <w:vAlign w:val="center"/>
          </w:tcPr>
          <w:p w14:paraId="3C0D0195" w14:textId="77777777" w:rsidR="00425E57" w:rsidRPr="008B562D" w:rsidRDefault="00425E57" w:rsidP="00203B0C">
            <w:pPr>
              <w:jc w:val="both"/>
              <w:rPr>
                <w:rFonts w:eastAsia="新細明體"/>
                <w:kern w:val="2"/>
                <w:lang w:eastAsia="zh-TW"/>
              </w:rPr>
            </w:pPr>
            <w:r w:rsidRPr="008B562D">
              <w:rPr>
                <w:rFonts w:eastAsia="新細明體"/>
                <w:kern w:val="2"/>
                <w:lang w:eastAsia="zh-TW"/>
              </w:rPr>
              <w:t>10,000 contracts</w:t>
            </w:r>
          </w:p>
        </w:tc>
      </w:tr>
      <w:tr w:rsidR="00425E57" w:rsidRPr="008B562D" w14:paraId="0CDBA399" w14:textId="77777777" w:rsidTr="00203B0C">
        <w:trPr>
          <w:trHeight w:val="261"/>
        </w:trPr>
        <w:tc>
          <w:tcPr>
            <w:tcW w:w="1111" w:type="dxa"/>
            <w:vAlign w:val="center"/>
            <w:hideMark/>
          </w:tcPr>
          <w:p w14:paraId="2EBC9C37" w14:textId="77777777" w:rsidR="00425E57" w:rsidRPr="008B562D" w:rsidRDefault="00425E57" w:rsidP="00203B0C">
            <w:pPr>
              <w:jc w:val="both"/>
              <w:rPr>
                <w:rFonts w:eastAsia="新細明體"/>
                <w:kern w:val="2"/>
                <w:lang w:eastAsia="zh-TW"/>
              </w:rPr>
            </w:pPr>
            <w:r w:rsidRPr="008B562D">
              <w:rPr>
                <w:rFonts w:eastAsia="新細明體"/>
                <w:kern w:val="2"/>
                <w:lang w:eastAsia="zh-TW"/>
              </w:rPr>
              <w:t>Type 2</w:t>
            </w:r>
          </w:p>
        </w:tc>
        <w:tc>
          <w:tcPr>
            <w:tcW w:w="4418" w:type="dxa"/>
            <w:vAlign w:val="center"/>
            <w:hideMark/>
          </w:tcPr>
          <w:p w14:paraId="14C1B849" w14:textId="77777777" w:rsidR="00425E57" w:rsidRPr="008B562D" w:rsidRDefault="00425E57" w:rsidP="00203B0C">
            <w:pPr>
              <w:jc w:val="both"/>
              <w:rPr>
                <w:rFonts w:eastAsia="新細明體"/>
                <w:kern w:val="2"/>
                <w:lang w:eastAsia="zh-TW"/>
              </w:rPr>
            </w:pPr>
            <w:r w:rsidRPr="008B562D">
              <w:rPr>
                <w:rFonts w:eastAsia="新細明體"/>
                <w:kern w:val="2"/>
                <w:lang w:eastAsia="zh-TW"/>
              </w:rPr>
              <w:t>10,000 contracts</w:t>
            </w:r>
          </w:p>
        </w:tc>
        <w:tc>
          <w:tcPr>
            <w:tcW w:w="3543" w:type="dxa"/>
            <w:vAlign w:val="center"/>
          </w:tcPr>
          <w:p w14:paraId="66C774E0" w14:textId="77777777" w:rsidR="00425E57" w:rsidRPr="008B562D" w:rsidRDefault="00425E57" w:rsidP="00203B0C">
            <w:pPr>
              <w:jc w:val="both"/>
              <w:rPr>
                <w:rFonts w:eastAsia="新細明體"/>
                <w:kern w:val="2"/>
                <w:lang w:eastAsia="zh-TW"/>
              </w:rPr>
            </w:pPr>
            <w:r w:rsidRPr="008B562D">
              <w:rPr>
                <w:rFonts w:eastAsia="新細明體"/>
                <w:kern w:val="2"/>
                <w:lang w:eastAsia="zh-TW"/>
              </w:rPr>
              <w:t>5,000 contracts</w:t>
            </w:r>
          </w:p>
        </w:tc>
      </w:tr>
      <w:tr w:rsidR="00425E57" w:rsidRPr="008B562D" w14:paraId="2B782FF8" w14:textId="77777777" w:rsidTr="00203B0C">
        <w:trPr>
          <w:trHeight w:val="275"/>
        </w:trPr>
        <w:tc>
          <w:tcPr>
            <w:tcW w:w="1111" w:type="dxa"/>
            <w:vAlign w:val="center"/>
            <w:hideMark/>
          </w:tcPr>
          <w:p w14:paraId="611FDF79" w14:textId="77777777" w:rsidR="00425E57" w:rsidRPr="008B562D" w:rsidRDefault="00425E57" w:rsidP="00203B0C">
            <w:pPr>
              <w:jc w:val="both"/>
              <w:rPr>
                <w:rFonts w:eastAsia="新細明體"/>
                <w:kern w:val="2"/>
                <w:lang w:eastAsia="zh-TW"/>
              </w:rPr>
            </w:pPr>
            <w:r w:rsidRPr="008B562D">
              <w:rPr>
                <w:rFonts w:eastAsia="新細明體"/>
                <w:kern w:val="2"/>
                <w:lang w:eastAsia="zh-TW"/>
              </w:rPr>
              <w:t>Type 3</w:t>
            </w:r>
          </w:p>
        </w:tc>
        <w:tc>
          <w:tcPr>
            <w:tcW w:w="4418" w:type="dxa"/>
            <w:vAlign w:val="center"/>
            <w:hideMark/>
          </w:tcPr>
          <w:p w14:paraId="1ECD1C52" w14:textId="77777777" w:rsidR="00425E57" w:rsidRPr="008B562D" w:rsidRDefault="00425E57" w:rsidP="00203B0C">
            <w:pPr>
              <w:jc w:val="both"/>
              <w:rPr>
                <w:rFonts w:eastAsia="新細明體"/>
                <w:kern w:val="2"/>
                <w:lang w:eastAsia="zh-TW"/>
              </w:rPr>
            </w:pPr>
            <w:r w:rsidRPr="008B562D">
              <w:rPr>
                <w:rFonts w:eastAsia="新細明體"/>
                <w:kern w:val="2"/>
                <w:lang w:eastAsia="zh-TW"/>
              </w:rPr>
              <w:t>5,000 contracts</w:t>
            </w:r>
          </w:p>
        </w:tc>
        <w:tc>
          <w:tcPr>
            <w:tcW w:w="3543" w:type="dxa"/>
            <w:vAlign w:val="center"/>
          </w:tcPr>
          <w:p w14:paraId="3DC436D4" w14:textId="77777777" w:rsidR="00425E57" w:rsidRPr="008B562D" w:rsidRDefault="00425E57" w:rsidP="00203B0C">
            <w:pPr>
              <w:jc w:val="both"/>
              <w:rPr>
                <w:rFonts w:eastAsia="新細明體"/>
                <w:kern w:val="2"/>
                <w:lang w:eastAsia="zh-TW"/>
              </w:rPr>
            </w:pPr>
            <w:r w:rsidRPr="008B562D">
              <w:rPr>
                <w:rFonts w:eastAsia="新細明體"/>
                <w:kern w:val="2"/>
                <w:lang w:eastAsia="zh-TW"/>
              </w:rPr>
              <w:t>2,500 contracts</w:t>
            </w:r>
          </w:p>
        </w:tc>
      </w:tr>
      <w:tr w:rsidR="00425E57" w:rsidRPr="008B562D" w14:paraId="1AC96707" w14:textId="77777777" w:rsidTr="00203B0C">
        <w:trPr>
          <w:trHeight w:val="275"/>
        </w:trPr>
        <w:tc>
          <w:tcPr>
            <w:tcW w:w="1111" w:type="dxa"/>
            <w:vAlign w:val="center"/>
            <w:hideMark/>
          </w:tcPr>
          <w:p w14:paraId="3CD5057A" w14:textId="77777777" w:rsidR="00425E57" w:rsidRPr="008B562D" w:rsidRDefault="00425E57" w:rsidP="00203B0C">
            <w:pPr>
              <w:jc w:val="both"/>
              <w:rPr>
                <w:rFonts w:eastAsia="新細明體"/>
                <w:kern w:val="2"/>
                <w:lang w:eastAsia="zh-TW"/>
              </w:rPr>
            </w:pPr>
            <w:r w:rsidRPr="008B562D">
              <w:rPr>
                <w:rFonts w:eastAsia="新細明體"/>
                <w:kern w:val="2"/>
                <w:lang w:eastAsia="zh-TW"/>
              </w:rPr>
              <w:t>Type 4</w:t>
            </w:r>
          </w:p>
        </w:tc>
        <w:tc>
          <w:tcPr>
            <w:tcW w:w="4418" w:type="dxa"/>
            <w:vAlign w:val="center"/>
            <w:hideMark/>
          </w:tcPr>
          <w:p w14:paraId="533FDEA1" w14:textId="77777777" w:rsidR="00425E57" w:rsidRPr="008B562D" w:rsidRDefault="00425E57" w:rsidP="00203B0C">
            <w:pPr>
              <w:jc w:val="both"/>
              <w:rPr>
                <w:rFonts w:eastAsia="新細明體"/>
                <w:kern w:val="2"/>
                <w:lang w:eastAsia="zh-TW"/>
              </w:rPr>
            </w:pPr>
            <w:r w:rsidRPr="008B562D">
              <w:rPr>
                <w:rFonts w:eastAsia="新細明體"/>
                <w:kern w:val="2"/>
                <w:lang w:eastAsia="zh-TW"/>
              </w:rPr>
              <w:t>2,000 contracts</w:t>
            </w:r>
          </w:p>
        </w:tc>
        <w:tc>
          <w:tcPr>
            <w:tcW w:w="3543" w:type="dxa"/>
            <w:vAlign w:val="center"/>
          </w:tcPr>
          <w:p w14:paraId="544CA100" w14:textId="77777777" w:rsidR="00425E57" w:rsidRPr="008B562D" w:rsidRDefault="00425E57" w:rsidP="00203B0C">
            <w:pPr>
              <w:jc w:val="both"/>
              <w:rPr>
                <w:rFonts w:eastAsia="新細明體"/>
                <w:kern w:val="2"/>
                <w:lang w:eastAsia="zh-TW"/>
              </w:rPr>
            </w:pPr>
            <w:r w:rsidRPr="008B562D">
              <w:rPr>
                <w:rFonts w:eastAsia="新細明體"/>
                <w:kern w:val="2"/>
                <w:lang w:eastAsia="zh-TW"/>
              </w:rPr>
              <w:t>1,000 contracts</w:t>
            </w:r>
          </w:p>
        </w:tc>
      </w:tr>
      <w:tr w:rsidR="00425E57" w:rsidRPr="008B562D" w14:paraId="06BA6CEF" w14:textId="77777777" w:rsidTr="00203B0C">
        <w:trPr>
          <w:trHeight w:val="275"/>
        </w:trPr>
        <w:tc>
          <w:tcPr>
            <w:tcW w:w="1111" w:type="dxa"/>
            <w:vAlign w:val="center"/>
            <w:hideMark/>
          </w:tcPr>
          <w:p w14:paraId="3B822BD8" w14:textId="77777777" w:rsidR="00425E57" w:rsidRPr="008B562D" w:rsidRDefault="00425E57" w:rsidP="00203B0C">
            <w:pPr>
              <w:jc w:val="both"/>
              <w:rPr>
                <w:rFonts w:eastAsia="新細明體"/>
                <w:kern w:val="2"/>
                <w:lang w:eastAsia="zh-TW"/>
              </w:rPr>
            </w:pPr>
            <w:r w:rsidRPr="008B562D">
              <w:rPr>
                <w:rFonts w:eastAsia="新細明體"/>
                <w:kern w:val="2"/>
                <w:lang w:eastAsia="zh-TW"/>
              </w:rPr>
              <w:t xml:space="preserve">Type 5 </w:t>
            </w:r>
          </w:p>
        </w:tc>
        <w:tc>
          <w:tcPr>
            <w:tcW w:w="4418" w:type="dxa"/>
            <w:vAlign w:val="center"/>
            <w:hideMark/>
          </w:tcPr>
          <w:p w14:paraId="0BD8CF12" w14:textId="77777777" w:rsidR="00425E57" w:rsidRPr="008B562D" w:rsidRDefault="00425E57" w:rsidP="00203B0C">
            <w:pPr>
              <w:jc w:val="both"/>
              <w:rPr>
                <w:rFonts w:eastAsia="新細明體"/>
                <w:kern w:val="2"/>
                <w:lang w:eastAsia="zh-TW"/>
              </w:rPr>
            </w:pPr>
            <w:r w:rsidRPr="008B562D">
              <w:rPr>
                <w:rFonts w:eastAsia="新細明體"/>
                <w:kern w:val="2"/>
                <w:lang w:eastAsia="zh-TW"/>
              </w:rPr>
              <w:t>1,000 contracts</w:t>
            </w:r>
          </w:p>
        </w:tc>
        <w:tc>
          <w:tcPr>
            <w:tcW w:w="3543" w:type="dxa"/>
            <w:vAlign w:val="center"/>
          </w:tcPr>
          <w:p w14:paraId="178C919A" w14:textId="77777777" w:rsidR="00425E57" w:rsidRPr="008B562D" w:rsidRDefault="00425E57" w:rsidP="00203B0C">
            <w:pPr>
              <w:jc w:val="both"/>
              <w:rPr>
                <w:rFonts w:eastAsia="新細明體"/>
                <w:kern w:val="2"/>
                <w:lang w:eastAsia="zh-TW"/>
              </w:rPr>
            </w:pPr>
            <w:r w:rsidRPr="008B562D">
              <w:rPr>
                <w:rFonts w:eastAsia="新細明體"/>
                <w:kern w:val="2"/>
                <w:lang w:eastAsia="zh-TW"/>
              </w:rPr>
              <w:t>500 contracts</w:t>
            </w:r>
          </w:p>
        </w:tc>
      </w:tr>
      <w:tr w:rsidR="00425E57" w:rsidRPr="008B562D" w14:paraId="7010ADF8" w14:textId="77777777" w:rsidTr="00203B0C">
        <w:trPr>
          <w:trHeight w:val="275"/>
        </w:trPr>
        <w:tc>
          <w:tcPr>
            <w:tcW w:w="1111" w:type="dxa"/>
            <w:vAlign w:val="center"/>
            <w:hideMark/>
          </w:tcPr>
          <w:p w14:paraId="38F1B1D7" w14:textId="77777777" w:rsidR="00425E57" w:rsidRPr="008B562D" w:rsidRDefault="00425E57" w:rsidP="00203B0C">
            <w:pPr>
              <w:jc w:val="both"/>
              <w:rPr>
                <w:rFonts w:eastAsia="新細明體"/>
                <w:kern w:val="2"/>
                <w:lang w:eastAsia="zh-TW"/>
              </w:rPr>
            </w:pPr>
            <w:r w:rsidRPr="008B562D">
              <w:rPr>
                <w:rFonts w:eastAsia="新細明體"/>
                <w:kern w:val="2"/>
                <w:lang w:eastAsia="zh-TW"/>
              </w:rPr>
              <w:t>Type 6</w:t>
            </w:r>
          </w:p>
        </w:tc>
        <w:tc>
          <w:tcPr>
            <w:tcW w:w="4418" w:type="dxa"/>
            <w:vAlign w:val="center"/>
            <w:hideMark/>
          </w:tcPr>
          <w:p w14:paraId="2B40549B" w14:textId="77777777" w:rsidR="00425E57" w:rsidRPr="008B562D" w:rsidRDefault="00425E57" w:rsidP="00203B0C">
            <w:pPr>
              <w:jc w:val="both"/>
              <w:rPr>
                <w:rFonts w:eastAsia="新細明體"/>
                <w:kern w:val="2"/>
                <w:lang w:eastAsia="zh-TW"/>
              </w:rPr>
            </w:pPr>
            <w:r w:rsidRPr="008B562D">
              <w:rPr>
                <w:rFonts w:eastAsia="新細明體"/>
                <w:kern w:val="2"/>
                <w:lang w:eastAsia="zh-TW"/>
              </w:rPr>
              <w:t>500 contracts</w:t>
            </w:r>
          </w:p>
        </w:tc>
        <w:tc>
          <w:tcPr>
            <w:tcW w:w="3543" w:type="dxa"/>
            <w:vAlign w:val="center"/>
          </w:tcPr>
          <w:p w14:paraId="5DFA8D6E" w14:textId="77777777" w:rsidR="00425E57" w:rsidRPr="008B562D" w:rsidRDefault="00425E57" w:rsidP="00203B0C">
            <w:pPr>
              <w:jc w:val="both"/>
              <w:rPr>
                <w:rFonts w:eastAsia="新細明體"/>
                <w:kern w:val="2"/>
                <w:lang w:eastAsia="zh-TW"/>
              </w:rPr>
            </w:pPr>
            <w:r w:rsidRPr="008B562D">
              <w:rPr>
                <w:rFonts w:eastAsia="新細明體"/>
                <w:kern w:val="2"/>
                <w:lang w:eastAsia="zh-TW"/>
              </w:rPr>
              <w:t>250 contracts</w:t>
            </w:r>
          </w:p>
        </w:tc>
      </w:tr>
    </w:tbl>
    <w:p w14:paraId="4AEEEA58" w14:textId="77777777" w:rsidR="00425E57" w:rsidRPr="00967651" w:rsidRDefault="00425E57" w:rsidP="00425E57">
      <w:pPr>
        <w:snapToGrid w:val="0"/>
        <w:rPr>
          <w:sz w:val="16"/>
        </w:rPr>
      </w:pPr>
    </w:p>
    <w:p w14:paraId="4AA11759" w14:textId="33F9B248" w:rsidR="00425E57" w:rsidRPr="008B562D" w:rsidRDefault="00425E57" w:rsidP="00425E57">
      <w:pPr>
        <w:pStyle w:val="ListParagraph"/>
        <w:widowControl/>
        <w:numPr>
          <w:ilvl w:val="0"/>
          <w:numId w:val="14"/>
        </w:numPr>
        <w:spacing w:line="276" w:lineRule="auto"/>
        <w:ind w:leftChars="0"/>
        <w:jc w:val="both"/>
        <w:rPr>
          <w:rFonts w:ascii="Arial" w:hAnsi="Arial" w:cs="Arial"/>
          <w:sz w:val="20"/>
          <w:szCs w:val="20"/>
        </w:rPr>
      </w:pPr>
      <w:r w:rsidRPr="008B562D">
        <w:rPr>
          <w:rFonts w:ascii="Arial" w:hAnsi="Arial" w:cs="Arial"/>
          <w:sz w:val="20"/>
          <w:szCs w:val="20"/>
        </w:rPr>
        <w:t xml:space="preserve">For ease of reference, PT will be offered </w:t>
      </w:r>
      <w:r w:rsidR="00865D1A" w:rsidRPr="008B562D">
        <w:rPr>
          <w:rFonts w:ascii="Arial" w:hAnsi="Arial" w:cs="Arial"/>
          <w:sz w:val="20"/>
          <w:szCs w:val="20"/>
        </w:rPr>
        <w:t xml:space="preserve">fee </w:t>
      </w:r>
      <w:r w:rsidRPr="008B562D">
        <w:rPr>
          <w:rFonts w:ascii="Arial" w:hAnsi="Arial" w:cs="Arial"/>
          <w:sz w:val="20"/>
          <w:szCs w:val="20"/>
        </w:rPr>
        <w:t>rebates (up to a maximum amount per month) in the following items upon fulfilment of its obligations:</w:t>
      </w:r>
    </w:p>
    <w:p w14:paraId="210981F5" w14:textId="77777777" w:rsidR="00425E57" w:rsidRPr="00967651" w:rsidRDefault="00425E57" w:rsidP="00425E57">
      <w:pPr>
        <w:pStyle w:val="ListParagraph"/>
        <w:ind w:leftChars="0" w:left="840"/>
        <w:jc w:val="both"/>
        <w:rPr>
          <w:rFonts w:ascii="Arial" w:hAnsi="Arial" w:cs="Arial"/>
          <w:sz w:val="14"/>
          <w:szCs w:val="20"/>
        </w:rPr>
      </w:pPr>
    </w:p>
    <w:tbl>
      <w:tblPr>
        <w:tblW w:w="907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20" w:firstRow="1" w:lastRow="0" w:firstColumn="0" w:lastColumn="0" w:noHBand="0" w:noVBand="1"/>
      </w:tblPr>
      <w:tblGrid>
        <w:gridCol w:w="1134"/>
        <w:gridCol w:w="3969"/>
        <w:gridCol w:w="1418"/>
        <w:gridCol w:w="1276"/>
        <w:gridCol w:w="1275"/>
      </w:tblGrid>
      <w:tr w:rsidR="00425E57" w:rsidRPr="008B562D" w14:paraId="1FB0CA86" w14:textId="77777777" w:rsidTr="00E12B44">
        <w:trPr>
          <w:trHeight w:val="189"/>
          <w:tblHeader/>
        </w:trPr>
        <w:tc>
          <w:tcPr>
            <w:tcW w:w="1134" w:type="dxa"/>
            <w:vMerge w:val="restart"/>
            <w:shd w:val="clear" w:color="auto" w:fill="DAEEF3" w:themeFill="accent5" w:themeFillTint="33"/>
            <w:tcMar>
              <w:top w:w="72" w:type="dxa"/>
              <w:left w:w="144" w:type="dxa"/>
              <w:bottom w:w="72" w:type="dxa"/>
              <w:right w:w="144" w:type="dxa"/>
            </w:tcMar>
            <w:hideMark/>
          </w:tcPr>
          <w:p w14:paraId="04CB5891" w14:textId="77777777" w:rsidR="00425E57" w:rsidRPr="008B562D" w:rsidRDefault="00425E57" w:rsidP="00E12B44">
            <w:pPr>
              <w:jc w:val="both"/>
              <w:rPr>
                <w:rFonts w:eastAsia="Times New Roman"/>
                <w:lang w:eastAsia="zh-HK"/>
              </w:rPr>
            </w:pPr>
            <w:r w:rsidRPr="008B562D">
              <w:t>PT Category</w:t>
            </w:r>
          </w:p>
        </w:tc>
        <w:tc>
          <w:tcPr>
            <w:tcW w:w="7938" w:type="dxa"/>
            <w:gridSpan w:val="4"/>
            <w:shd w:val="clear" w:color="auto" w:fill="DAEEF3" w:themeFill="accent5" w:themeFillTint="33"/>
            <w:tcMar>
              <w:top w:w="72" w:type="dxa"/>
              <w:left w:w="144" w:type="dxa"/>
              <w:bottom w:w="72" w:type="dxa"/>
              <w:right w:w="144" w:type="dxa"/>
            </w:tcMar>
            <w:hideMark/>
          </w:tcPr>
          <w:p w14:paraId="08116DDF" w14:textId="77777777" w:rsidR="00425E57" w:rsidRPr="008B562D" w:rsidRDefault="00425E57" w:rsidP="00E12B44">
            <w:pPr>
              <w:jc w:val="both"/>
            </w:pPr>
            <w:r w:rsidRPr="008B562D">
              <w:t>Maximum Incentives per month (in HKD)</w:t>
            </w:r>
          </w:p>
        </w:tc>
      </w:tr>
      <w:tr w:rsidR="00425E57" w:rsidRPr="008B562D" w14:paraId="1323167A" w14:textId="77777777" w:rsidTr="008B562D">
        <w:trPr>
          <w:trHeight w:val="87"/>
          <w:tblHeader/>
        </w:trPr>
        <w:tc>
          <w:tcPr>
            <w:tcW w:w="1134" w:type="dxa"/>
            <w:vMerge/>
            <w:shd w:val="clear" w:color="auto" w:fill="DAEEF3" w:themeFill="accent5" w:themeFillTint="33"/>
            <w:vAlign w:val="center"/>
            <w:hideMark/>
          </w:tcPr>
          <w:p w14:paraId="5C56273B" w14:textId="77777777" w:rsidR="00425E57" w:rsidRPr="008B562D" w:rsidRDefault="00425E57" w:rsidP="00E12B44">
            <w:pPr>
              <w:rPr>
                <w:rFonts w:eastAsia="Times New Roman"/>
                <w:lang w:eastAsia="zh-HK"/>
              </w:rPr>
            </w:pPr>
          </w:p>
        </w:tc>
        <w:tc>
          <w:tcPr>
            <w:tcW w:w="6663" w:type="dxa"/>
            <w:gridSpan w:val="3"/>
            <w:shd w:val="clear" w:color="auto" w:fill="DAEEF3" w:themeFill="accent5" w:themeFillTint="33"/>
            <w:tcMar>
              <w:top w:w="72" w:type="dxa"/>
              <w:left w:w="144" w:type="dxa"/>
              <w:bottom w:w="72" w:type="dxa"/>
              <w:right w:w="144" w:type="dxa"/>
            </w:tcMar>
            <w:hideMark/>
          </w:tcPr>
          <w:p w14:paraId="702BF73F" w14:textId="77777777" w:rsidR="00425E57" w:rsidRPr="008B562D" w:rsidRDefault="00425E57" w:rsidP="00E12B44">
            <w:pPr>
              <w:jc w:val="both"/>
            </w:pPr>
            <w:r w:rsidRPr="008B562D">
              <w:t>Combinations of:</w:t>
            </w:r>
          </w:p>
        </w:tc>
        <w:tc>
          <w:tcPr>
            <w:tcW w:w="1275" w:type="dxa"/>
            <w:vMerge w:val="restart"/>
            <w:shd w:val="clear" w:color="auto" w:fill="DAEEF3" w:themeFill="accent5" w:themeFillTint="33"/>
            <w:tcMar>
              <w:top w:w="72" w:type="dxa"/>
              <w:left w:w="144" w:type="dxa"/>
              <w:bottom w:w="72" w:type="dxa"/>
              <w:right w:w="144" w:type="dxa"/>
            </w:tcMar>
            <w:hideMark/>
          </w:tcPr>
          <w:p w14:paraId="61B90C8B" w14:textId="77777777" w:rsidR="00425E57" w:rsidRPr="008B562D" w:rsidRDefault="00425E57" w:rsidP="00E12B44">
            <w:pPr>
              <w:jc w:val="both"/>
            </w:pPr>
            <w:r w:rsidRPr="008B562D">
              <w:t>Max Total per month</w:t>
            </w:r>
          </w:p>
        </w:tc>
      </w:tr>
      <w:tr w:rsidR="00425E57" w:rsidRPr="008B562D" w14:paraId="4C7483AA" w14:textId="77777777" w:rsidTr="00FB6F07">
        <w:trPr>
          <w:trHeight w:val="831"/>
          <w:tblHeader/>
        </w:trPr>
        <w:tc>
          <w:tcPr>
            <w:tcW w:w="1134" w:type="dxa"/>
            <w:vMerge/>
            <w:tcBorders>
              <w:bottom w:val="single" w:sz="4" w:space="0" w:color="auto"/>
            </w:tcBorders>
            <w:shd w:val="clear" w:color="auto" w:fill="auto"/>
            <w:vAlign w:val="center"/>
            <w:hideMark/>
          </w:tcPr>
          <w:p w14:paraId="442201F7" w14:textId="77777777" w:rsidR="00425E57" w:rsidRPr="008B562D" w:rsidRDefault="00425E57" w:rsidP="00E12B44">
            <w:pPr>
              <w:rPr>
                <w:rFonts w:eastAsia="Times New Roman"/>
                <w:lang w:eastAsia="zh-HK"/>
              </w:rPr>
            </w:pPr>
          </w:p>
        </w:tc>
        <w:tc>
          <w:tcPr>
            <w:tcW w:w="3969" w:type="dxa"/>
            <w:tcBorders>
              <w:bottom w:val="single" w:sz="4" w:space="0" w:color="auto"/>
            </w:tcBorders>
            <w:shd w:val="clear" w:color="auto" w:fill="DAEEF3" w:themeFill="accent5" w:themeFillTint="33"/>
            <w:tcMar>
              <w:top w:w="72" w:type="dxa"/>
              <w:left w:w="144" w:type="dxa"/>
              <w:bottom w:w="72" w:type="dxa"/>
              <w:right w:w="144" w:type="dxa"/>
            </w:tcMar>
            <w:hideMark/>
          </w:tcPr>
          <w:p w14:paraId="67B22AAF" w14:textId="77777777" w:rsidR="00425E57" w:rsidRPr="008B562D" w:rsidRDefault="00425E57" w:rsidP="00E12B44">
            <w:pPr>
              <w:rPr>
                <w:rFonts w:eastAsia="Times New Roman"/>
                <w:lang w:eastAsia="zh-HK"/>
              </w:rPr>
            </w:pPr>
            <w:r w:rsidRPr="008B562D">
              <w:rPr>
                <w:rFonts w:eastAsia="Times New Roman"/>
                <w:lang w:eastAsia="zh-HK"/>
              </w:rPr>
              <w:t>Cross-product trading fee rebate in Hang Seng Index Futures (HSIF), Hang Seng China Enterprises Index Futures (HHIF) and USD/CNH Futures (CNHF)</w:t>
            </w:r>
          </w:p>
        </w:tc>
        <w:tc>
          <w:tcPr>
            <w:tcW w:w="1418" w:type="dxa"/>
            <w:tcBorders>
              <w:bottom w:val="single" w:sz="4" w:space="0" w:color="auto"/>
            </w:tcBorders>
            <w:shd w:val="clear" w:color="auto" w:fill="DAEEF3" w:themeFill="accent5" w:themeFillTint="33"/>
            <w:tcMar>
              <w:top w:w="72" w:type="dxa"/>
              <w:left w:w="144" w:type="dxa"/>
              <w:bottom w:w="72" w:type="dxa"/>
              <w:right w:w="144" w:type="dxa"/>
            </w:tcMar>
            <w:hideMark/>
          </w:tcPr>
          <w:p w14:paraId="391C6021" w14:textId="77777777" w:rsidR="00425E57" w:rsidRPr="008B562D" w:rsidRDefault="00425E57" w:rsidP="00E12B44">
            <w:pPr>
              <w:rPr>
                <w:rFonts w:eastAsia="Times New Roman"/>
                <w:lang w:eastAsia="zh-HK"/>
              </w:rPr>
            </w:pPr>
            <w:r w:rsidRPr="008B562D">
              <w:rPr>
                <w:kern w:val="24"/>
                <w:lang w:eastAsia="zh-HK"/>
              </w:rPr>
              <w:t>Market Data Fee Rebate</w:t>
            </w:r>
            <w:r w:rsidRPr="008B562D">
              <w:rPr>
                <w:rStyle w:val="FootnoteReference"/>
                <w:kern w:val="24"/>
                <w:lang w:eastAsia="zh-HK"/>
              </w:rPr>
              <w:footnoteReference w:id="3"/>
            </w:r>
            <w:r w:rsidRPr="008B562D">
              <w:rPr>
                <w:kern w:val="24"/>
                <w:lang w:eastAsia="zh-HK"/>
              </w:rPr>
              <w:t xml:space="preserve">  (Derivatives/ Securities)</w:t>
            </w:r>
          </w:p>
        </w:tc>
        <w:tc>
          <w:tcPr>
            <w:tcW w:w="1276" w:type="dxa"/>
            <w:tcBorders>
              <w:bottom w:val="single" w:sz="4" w:space="0" w:color="auto"/>
            </w:tcBorders>
            <w:shd w:val="clear" w:color="auto" w:fill="DAEEF3" w:themeFill="accent5" w:themeFillTint="33"/>
            <w:tcMar>
              <w:top w:w="72" w:type="dxa"/>
              <w:left w:w="144" w:type="dxa"/>
              <w:bottom w:w="72" w:type="dxa"/>
              <w:right w:w="144" w:type="dxa"/>
            </w:tcMar>
            <w:hideMark/>
          </w:tcPr>
          <w:p w14:paraId="10A0A2B0" w14:textId="77777777" w:rsidR="00425E57" w:rsidRPr="008B562D" w:rsidRDefault="00425E57" w:rsidP="00E12B44">
            <w:pPr>
              <w:rPr>
                <w:rFonts w:eastAsia="Times New Roman"/>
                <w:lang w:eastAsia="zh-HK"/>
              </w:rPr>
            </w:pPr>
            <w:r w:rsidRPr="008B562D">
              <w:rPr>
                <w:rFonts w:eastAsia="Times New Roman"/>
                <w:kern w:val="24"/>
                <w:lang w:eastAsia="zh-HK"/>
              </w:rPr>
              <w:t xml:space="preserve">Hosting Services Fee Rebate </w:t>
            </w:r>
          </w:p>
        </w:tc>
        <w:tc>
          <w:tcPr>
            <w:tcW w:w="1275" w:type="dxa"/>
            <w:vMerge/>
            <w:tcBorders>
              <w:bottom w:val="single" w:sz="4" w:space="0" w:color="auto"/>
            </w:tcBorders>
            <w:shd w:val="clear" w:color="auto" w:fill="DAEEF3" w:themeFill="accent5" w:themeFillTint="33"/>
            <w:vAlign w:val="center"/>
            <w:hideMark/>
          </w:tcPr>
          <w:p w14:paraId="7D8E0576" w14:textId="77777777" w:rsidR="00425E57" w:rsidRPr="008B562D" w:rsidRDefault="00425E57" w:rsidP="00E12B44">
            <w:pPr>
              <w:rPr>
                <w:rFonts w:eastAsia="Times New Roman"/>
                <w:lang w:eastAsia="zh-HK"/>
              </w:rPr>
            </w:pPr>
          </w:p>
        </w:tc>
      </w:tr>
      <w:tr w:rsidR="00425E57" w:rsidRPr="008B562D" w14:paraId="67ACCD61" w14:textId="77777777" w:rsidTr="009C5F56">
        <w:trPr>
          <w:trHeight w:val="113"/>
        </w:trPr>
        <w:tc>
          <w:tcPr>
            <w:tcW w:w="1134" w:type="dxa"/>
            <w:shd w:val="clear" w:color="auto" w:fill="auto"/>
            <w:tcMar>
              <w:top w:w="72" w:type="dxa"/>
              <w:left w:w="144" w:type="dxa"/>
              <w:bottom w:w="72" w:type="dxa"/>
              <w:right w:w="144" w:type="dxa"/>
            </w:tcMar>
          </w:tcPr>
          <w:p w14:paraId="2CEBFE14"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Type 1</w:t>
            </w:r>
          </w:p>
        </w:tc>
        <w:tc>
          <w:tcPr>
            <w:tcW w:w="6663" w:type="dxa"/>
            <w:gridSpan w:val="3"/>
            <w:shd w:val="clear" w:color="auto" w:fill="auto"/>
            <w:tcMar>
              <w:top w:w="72" w:type="dxa"/>
              <w:left w:w="144" w:type="dxa"/>
              <w:bottom w:w="72" w:type="dxa"/>
              <w:right w:w="144" w:type="dxa"/>
            </w:tcMar>
          </w:tcPr>
          <w:p w14:paraId="747F1FA0" w14:textId="77777777" w:rsidR="00425E57" w:rsidRPr="008B562D" w:rsidRDefault="00425E57" w:rsidP="00E12B44">
            <w:r w:rsidRPr="008B562D">
              <w:rPr>
                <w:rFonts w:eastAsia="Times New Roman"/>
                <w:color w:val="000000" w:themeColor="dark1"/>
                <w:kern w:val="24"/>
                <w:lang w:eastAsia="zh-HK"/>
              </w:rPr>
              <w:t>Up to $100,000 in total</w:t>
            </w:r>
          </w:p>
        </w:tc>
        <w:tc>
          <w:tcPr>
            <w:tcW w:w="1275" w:type="dxa"/>
            <w:shd w:val="clear" w:color="auto" w:fill="auto"/>
            <w:tcMar>
              <w:top w:w="72" w:type="dxa"/>
              <w:left w:w="144" w:type="dxa"/>
              <w:bottom w:w="72" w:type="dxa"/>
              <w:right w:w="144" w:type="dxa"/>
            </w:tcMar>
          </w:tcPr>
          <w:p w14:paraId="4BED3F93"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 xml:space="preserve">$100,000 </w:t>
            </w:r>
          </w:p>
        </w:tc>
      </w:tr>
      <w:tr w:rsidR="00425E57" w:rsidRPr="008B562D" w14:paraId="66BEFA47" w14:textId="77777777" w:rsidTr="008B562D">
        <w:trPr>
          <w:trHeight w:val="227"/>
        </w:trPr>
        <w:tc>
          <w:tcPr>
            <w:tcW w:w="1134" w:type="dxa"/>
            <w:shd w:val="clear" w:color="auto" w:fill="auto"/>
            <w:tcMar>
              <w:top w:w="72" w:type="dxa"/>
              <w:left w:w="144" w:type="dxa"/>
              <w:bottom w:w="72" w:type="dxa"/>
              <w:right w:w="144" w:type="dxa"/>
            </w:tcMar>
          </w:tcPr>
          <w:p w14:paraId="6B50006A"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Type 2</w:t>
            </w:r>
          </w:p>
        </w:tc>
        <w:tc>
          <w:tcPr>
            <w:tcW w:w="6663" w:type="dxa"/>
            <w:gridSpan w:val="3"/>
            <w:shd w:val="clear" w:color="auto" w:fill="auto"/>
            <w:tcMar>
              <w:top w:w="72" w:type="dxa"/>
              <w:left w:w="144" w:type="dxa"/>
              <w:bottom w:w="72" w:type="dxa"/>
              <w:right w:w="144" w:type="dxa"/>
            </w:tcMar>
          </w:tcPr>
          <w:p w14:paraId="772CDE36" w14:textId="77777777" w:rsidR="00425E57" w:rsidRPr="008B562D" w:rsidRDefault="00425E57" w:rsidP="00E12B44">
            <w:r w:rsidRPr="008B562D">
              <w:rPr>
                <w:rFonts w:eastAsia="Times New Roman"/>
                <w:color w:val="000000" w:themeColor="dark1"/>
                <w:kern w:val="24"/>
                <w:lang w:eastAsia="zh-HK"/>
              </w:rPr>
              <w:t>Up to $50,000 in total</w:t>
            </w:r>
          </w:p>
        </w:tc>
        <w:tc>
          <w:tcPr>
            <w:tcW w:w="1275" w:type="dxa"/>
            <w:shd w:val="clear" w:color="auto" w:fill="auto"/>
            <w:tcMar>
              <w:top w:w="72" w:type="dxa"/>
              <w:left w:w="144" w:type="dxa"/>
              <w:bottom w:w="72" w:type="dxa"/>
              <w:right w:w="144" w:type="dxa"/>
            </w:tcMar>
          </w:tcPr>
          <w:p w14:paraId="0F55B9A0"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 xml:space="preserve">$50,000 </w:t>
            </w:r>
          </w:p>
        </w:tc>
      </w:tr>
      <w:tr w:rsidR="00425E57" w:rsidRPr="008B562D" w14:paraId="0E211D08" w14:textId="77777777" w:rsidTr="009C5F56">
        <w:trPr>
          <w:trHeight w:val="175"/>
        </w:trPr>
        <w:tc>
          <w:tcPr>
            <w:tcW w:w="1134" w:type="dxa"/>
            <w:shd w:val="clear" w:color="auto" w:fill="auto"/>
            <w:tcMar>
              <w:top w:w="72" w:type="dxa"/>
              <w:left w:w="144" w:type="dxa"/>
              <w:bottom w:w="72" w:type="dxa"/>
              <w:right w:w="144" w:type="dxa"/>
            </w:tcMar>
          </w:tcPr>
          <w:p w14:paraId="479456C0"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Type 3</w:t>
            </w:r>
          </w:p>
        </w:tc>
        <w:tc>
          <w:tcPr>
            <w:tcW w:w="6663" w:type="dxa"/>
            <w:gridSpan w:val="3"/>
            <w:shd w:val="clear" w:color="auto" w:fill="auto"/>
            <w:tcMar>
              <w:top w:w="72" w:type="dxa"/>
              <w:left w:w="144" w:type="dxa"/>
              <w:bottom w:w="72" w:type="dxa"/>
              <w:right w:w="144" w:type="dxa"/>
            </w:tcMar>
          </w:tcPr>
          <w:p w14:paraId="20D0DF3D" w14:textId="77777777" w:rsidR="00425E57" w:rsidRPr="008B562D" w:rsidRDefault="00425E57" w:rsidP="00E12B44">
            <w:r w:rsidRPr="008B562D">
              <w:rPr>
                <w:rFonts w:eastAsia="Times New Roman"/>
                <w:color w:val="000000" w:themeColor="dark1"/>
                <w:kern w:val="24"/>
                <w:lang w:eastAsia="zh-HK"/>
              </w:rPr>
              <w:t>Up to $25,000 in total</w:t>
            </w:r>
          </w:p>
        </w:tc>
        <w:tc>
          <w:tcPr>
            <w:tcW w:w="1275" w:type="dxa"/>
            <w:shd w:val="clear" w:color="auto" w:fill="auto"/>
            <w:tcMar>
              <w:top w:w="72" w:type="dxa"/>
              <w:left w:w="144" w:type="dxa"/>
              <w:bottom w:w="72" w:type="dxa"/>
              <w:right w:w="144" w:type="dxa"/>
            </w:tcMar>
          </w:tcPr>
          <w:p w14:paraId="0810F8B0"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 xml:space="preserve">$25,000 </w:t>
            </w:r>
          </w:p>
        </w:tc>
      </w:tr>
      <w:tr w:rsidR="00425E57" w:rsidRPr="008B562D" w14:paraId="1B7EDF64" w14:textId="77777777" w:rsidTr="008B562D">
        <w:trPr>
          <w:trHeight w:val="168"/>
        </w:trPr>
        <w:tc>
          <w:tcPr>
            <w:tcW w:w="1134" w:type="dxa"/>
            <w:shd w:val="clear" w:color="auto" w:fill="auto"/>
            <w:tcMar>
              <w:top w:w="72" w:type="dxa"/>
              <w:left w:w="144" w:type="dxa"/>
              <w:bottom w:w="72" w:type="dxa"/>
              <w:right w:w="144" w:type="dxa"/>
            </w:tcMar>
          </w:tcPr>
          <w:p w14:paraId="27636C03"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Type 4</w:t>
            </w:r>
          </w:p>
        </w:tc>
        <w:tc>
          <w:tcPr>
            <w:tcW w:w="6663" w:type="dxa"/>
            <w:gridSpan w:val="3"/>
            <w:shd w:val="clear" w:color="auto" w:fill="auto"/>
            <w:tcMar>
              <w:top w:w="72" w:type="dxa"/>
              <w:left w:w="144" w:type="dxa"/>
              <w:bottom w:w="72" w:type="dxa"/>
              <w:right w:w="144" w:type="dxa"/>
            </w:tcMar>
          </w:tcPr>
          <w:p w14:paraId="2C337A18" w14:textId="77777777" w:rsidR="00425E57" w:rsidRPr="008B562D" w:rsidRDefault="00425E57" w:rsidP="00E12B44">
            <w:r w:rsidRPr="008B562D">
              <w:rPr>
                <w:rFonts w:eastAsia="Times New Roman"/>
                <w:color w:val="000000" w:themeColor="dark1"/>
                <w:kern w:val="24"/>
                <w:lang w:eastAsia="zh-HK"/>
              </w:rPr>
              <w:t>Up to $10,000 in total</w:t>
            </w:r>
          </w:p>
        </w:tc>
        <w:tc>
          <w:tcPr>
            <w:tcW w:w="1275" w:type="dxa"/>
            <w:shd w:val="clear" w:color="auto" w:fill="auto"/>
            <w:tcMar>
              <w:top w:w="72" w:type="dxa"/>
              <w:left w:w="144" w:type="dxa"/>
              <w:bottom w:w="72" w:type="dxa"/>
              <w:right w:w="144" w:type="dxa"/>
            </w:tcMar>
          </w:tcPr>
          <w:p w14:paraId="4DDFBDBD"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 xml:space="preserve">$10,000 </w:t>
            </w:r>
          </w:p>
        </w:tc>
      </w:tr>
      <w:tr w:rsidR="00425E57" w:rsidRPr="008B562D" w14:paraId="75B908C6" w14:textId="77777777" w:rsidTr="009C5F56">
        <w:trPr>
          <w:trHeight w:val="213"/>
        </w:trPr>
        <w:tc>
          <w:tcPr>
            <w:tcW w:w="1134" w:type="dxa"/>
            <w:shd w:val="clear" w:color="auto" w:fill="auto"/>
            <w:tcMar>
              <w:top w:w="72" w:type="dxa"/>
              <w:left w:w="144" w:type="dxa"/>
              <w:bottom w:w="72" w:type="dxa"/>
              <w:right w:w="144" w:type="dxa"/>
            </w:tcMar>
          </w:tcPr>
          <w:p w14:paraId="6D4CD019"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 xml:space="preserve">Type 5 </w:t>
            </w:r>
          </w:p>
        </w:tc>
        <w:tc>
          <w:tcPr>
            <w:tcW w:w="6663" w:type="dxa"/>
            <w:gridSpan w:val="3"/>
            <w:shd w:val="clear" w:color="auto" w:fill="auto"/>
            <w:tcMar>
              <w:top w:w="72" w:type="dxa"/>
              <w:left w:w="144" w:type="dxa"/>
              <w:bottom w:w="72" w:type="dxa"/>
              <w:right w:w="144" w:type="dxa"/>
            </w:tcMar>
          </w:tcPr>
          <w:p w14:paraId="36D847F1" w14:textId="77777777" w:rsidR="00425E57" w:rsidRPr="008B562D" w:rsidRDefault="00425E57" w:rsidP="00E12B44">
            <w:r w:rsidRPr="008B562D">
              <w:rPr>
                <w:rFonts w:eastAsia="Times New Roman"/>
                <w:color w:val="000000" w:themeColor="dark1"/>
                <w:kern w:val="24"/>
                <w:lang w:eastAsia="zh-HK"/>
              </w:rPr>
              <w:t>Up to $5,000 in total</w:t>
            </w:r>
          </w:p>
        </w:tc>
        <w:tc>
          <w:tcPr>
            <w:tcW w:w="1275" w:type="dxa"/>
            <w:shd w:val="clear" w:color="auto" w:fill="auto"/>
            <w:tcMar>
              <w:top w:w="72" w:type="dxa"/>
              <w:left w:w="144" w:type="dxa"/>
              <w:bottom w:w="72" w:type="dxa"/>
              <w:right w:w="144" w:type="dxa"/>
            </w:tcMar>
          </w:tcPr>
          <w:p w14:paraId="224CC1F1"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 xml:space="preserve">$5,000 </w:t>
            </w:r>
          </w:p>
        </w:tc>
      </w:tr>
      <w:tr w:rsidR="00425E57" w:rsidRPr="008B562D" w14:paraId="3D063409" w14:textId="77777777" w:rsidTr="009C5F56">
        <w:trPr>
          <w:trHeight w:val="135"/>
        </w:trPr>
        <w:tc>
          <w:tcPr>
            <w:tcW w:w="1134" w:type="dxa"/>
            <w:shd w:val="clear" w:color="auto" w:fill="auto"/>
            <w:tcMar>
              <w:top w:w="72" w:type="dxa"/>
              <w:left w:w="144" w:type="dxa"/>
              <w:bottom w:w="72" w:type="dxa"/>
              <w:right w:w="144" w:type="dxa"/>
            </w:tcMar>
          </w:tcPr>
          <w:p w14:paraId="5692860B" w14:textId="77777777" w:rsidR="00425E57" w:rsidRPr="008B562D" w:rsidRDefault="00425E57" w:rsidP="00E12B44">
            <w:pPr>
              <w:snapToGrid w:val="0"/>
              <w:rPr>
                <w:rFonts w:eastAsia="Times New Roman"/>
                <w:lang w:eastAsia="zh-HK"/>
              </w:rPr>
            </w:pPr>
            <w:r w:rsidRPr="008B562D">
              <w:rPr>
                <w:rFonts w:eastAsia="Times New Roman"/>
                <w:color w:val="000000" w:themeColor="dark1"/>
                <w:kern w:val="24"/>
                <w:lang w:val="en-GB" w:eastAsia="zh-HK"/>
              </w:rPr>
              <w:t>Type 6</w:t>
            </w:r>
          </w:p>
        </w:tc>
        <w:tc>
          <w:tcPr>
            <w:tcW w:w="6663" w:type="dxa"/>
            <w:gridSpan w:val="3"/>
            <w:shd w:val="clear" w:color="auto" w:fill="auto"/>
            <w:tcMar>
              <w:top w:w="72" w:type="dxa"/>
              <w:left w:w="144" w:type="dxa"/>
              <w:bottom w:w="72" w:type="dxa"/>
              <w:right w:w="144" w:type="dxa"/>
            </w:tcMar>
          </w:tcPr>
          <w:p w14:paraId="4E2D4669" w14:textId="77777777" w:rsidR="00425E57" w:rsidRPr="008B562D" w:rsidRDefault="00425E57" w:rsidP="00E12B44">
            <w:r w:rsidRPr="008B562D">
              <w:rPr>
                <w:rFonts w:eastAsia="Times New Roman"/>
                <w:color w:val="000000" w:themeColor="dark1"/>
                <w:kern w:val="24"/>
                <w:lang w:eastAsia="zh-HK"/>
              </w:rPr>
              <w:t>Up to $2,500 in total</w:t>
            </w:r>
          </w:p>
        </w:tc>
        <w:tc>
          <w:tcPr>
            <w:tcW w:w="1275" w:type="dxa"/>
            <w:shd w:val="clear" w:color="auto" w:fill="auto"/>
            <w:tcMar>
              <w:top w:w="72" w:type="dxa"/>
              <w:left w:w="144" w:type="dxa"/>
              <w:bottom w:w="72" w:type="dxa"/>
              <w:right w:w="144" w:type="dxa"/>
            </w:tcMar>
          </w:tcPr>
          <w:p w14:paraId="39F311FF" w14:textId="77777777" w:rsidR="00425E57" w:rsidRPr="008B562D" w:rsidRDefault="00425E57" w:rsidP="00E12B44">
            <w:pPr>
              <w:snapToGrid w:val="0"/>
              <w:rPr>
                <w:rFonts w:eastAsia="Times New Roman"/>
                <w:lang w:eastAsia="zh-HK"/>
              </w:rPr>
            </w:pPr>
            <w:r w:rsidRPr="008B562D">
              <w:rPr>
                <w:rFonts w:eastAsia="Times New Roman"/>
                <w:bCs/>
                <w:color w:val="000000" w:themeColor="dark1"/>
                <w:kern w:val="24"/>
                <w:lang w:eastAsia="zh-HK"/>
              </w:rPr>
              <w:t>$2,500</w:t>
            </w:r>
          </w:p>
        </w:tc>
      </w:tr>
    </w:tbl>
    <w:p w14:paraId="50CE3E6C" w14:textId="77777777" w:rsidR="00203B0C" w:rsidRPr="00967651" w:rsidRDefault="00203B0C" w:rsidP="00425E57">
      <w:pPr>
        <w:spacing w:line="360" w:lineRule="auto"/>
        <w:ind w:leftChars="300" w:left="600"/>
        <w:contextualSpacing/>
        <w:jc w:val="both"/>
        <w:rPr>
          <w:rFonts w:eastAsia="新細明體"/>
          <w:sz w:val="12"/>
          <w:lang w:val="en-GB" w:eastAsia="zh-TW"/>
        </w:rPr>
      </w:pPr>
    </w:p>
    <w:p w14:paraId="547BC570" w14:textId="77777777" w:rsidR="00425E57" w:rsidRPr="008B562D" w:rsidRDefault="00425E57" w:rsidP="00425E57">
      <w:pPr>
        <w:spacing w:line="360" w:lineRule="auto"/>
        <w:ind w:leftChars="300" w:left="600"/>
        <w:contextualSpacing/>
        <w:jc w:val="both"/>
        <w:rPr>
          <w:rFonts w:eastAsia="新細明體"/>
          <w:lang w:val="en-GB" w:eastAsia="zh-TW"/>
        </w:rPr>
      </w:pPr>
      <w:r w:rsidRPr="008B562D">
        <w:rPr>
          <w:rFonts w:eastAsia="新細明體"/>
          <w:lang w:val="en-GB" w:eastAsia="zh-TW"/>
        </w:rPr>
        <w:t>Details of cross-product trading fee rebate are as follows:</w:t>
      </w:r>
    </w:p>
    <w:tbl>
      <w:tblPr>
        <w:tblStyle w:val="TableGrid"/>
        <w:tblW w:w="9039" w:type="dxa"/>
        <w:tblInd w:w="657" w:type="dxa"/>
        <w:tblCellMar>
          <w:top w:w="57" w:type="dxa"/>
          <w:left w:w="57" w:type="dxa"/>
          <w:bottom w:w="57" w:type="dxa"/>
          <w:right w:w="57" w:type="dxa"/>
        </w:tblCellMar>
        <w:tblLook w:val="04A0" w:firstRow="1" w:lastRow="0" w:firstColumn="1" w:lastColumn="0" w:noHBand="0" w:noVBand="1"/>
      </w:tblPr>
      <w:tblGrid>
        <w:gridCol w:w="2410"/>
        <w:gridCol w:w="2235"/>
        <w:gridCol w:w="2126"/>
        <w:gridCol w:w="2268"/>
      </w:tblGrid>
      <w:tr w:rsidR="00425E57" w:rsidRPr="008B562D" w14:paraId="1DB4C21B" w14:textId="77777777" w:rsidTr="009C5F56">
        <w:tc>
          <w:tcPr>
            <w:tcW w:w="2410" w:type="dxa"/>
            <w:shd w:val="clear" w:color="auto" w:fill="DAEEF3" w:themeFill="accent5" w:themeFillTint="33"/>
          </w:tcPr>
          <w:p w14:paraId="2B524570" w14:textId="77777777" w:rsidR="00425E57" w:rsidRPr="008B562D" w:rsidRDefault="00425E57" w:rsidP="00E12B44">
            <w:pPr>
              <w:jc w:val="both"/>
            </w:pPr>
            <w:r w:rsidRPr="008B562D">
              <w:t>Product</w:t>
            </w:r>
          </w:p>
        </w:tc>
        <w:tc>
          <w:tcPr>
            <w:tcW w:w="2235" w:type="dxa"/>
            <w:shd w:val="clear" w:color="auto" w:fill="DAEEF3" w:themeFill="accent5" w:themeFillTint="33"/>
          </w:tcPr>
          <w:p w14:paraId="0E3E94CF" w14:textId="77777777" w:rsidR="00425E57" w:rsidRPr="008B562D" w:rsidRDefault="00425E57" w:rsidP="00E12B44">
            <w:pPr>
              <w:jc w:val="both"/>
            </w:pPr>
            <w:r w:rsidRPr="008B562D">
              <w:t>HSIF*</w:t>
            </w:r>
          </w:p>
        </w:tc>
        <w:tc>
          <w:tcPr>
            <w:tcW w:w="2126" w:type="dxa"/>
            <w:shd w:val="clear" w:color="auto" w:fill="DAEEF3" w:themeFill="accent5" w:themeFillTint="33"/>
          </w:tcPr>
          <w:p w14:paraId="11DF88BE" w14:textId="77777777" w:rsidR="00425E57" w:rsidRPr="008B562D" w:rsidRDefault="00425E57" w:rsidP="00E12B44">
            <w:pPr>
              <w:jc w:val="both"/>
            </w:pPr>
            <w:r w:rsidRPr="008B562D">
              <w:t>HHIF*</w:t>
            </w:r>
          </w:p>
        </w:tc>
        <w:tc>
          <w:tcPr>
            <w:tcW w:w="2268" w:type="dxa"/>
            <w:shd w:val="clear" w:color="auto" w:fill="DAEEF3" w:themeFill="accent5" w:themeFillTint="33"/>
          </w:tcPr>
          <w:p w14:paraId="478D95B3" w14:textId="77777777" w:rsidR="00425E57" w:rsidRPr="008B562D" w:rsidRDefault="00425E57" w:rsidP="00E12B44">
            <w:pPr>
              <w:jc w:val="both"/>
            </w:pPr>
            <w:r w:rsidRPr="008B562D">
              <w:t>CNHF**</w:t>
            </w:r>
            <w:r w:rsidRPr="008B562D">
              <w:rPr>
                <w:rStyle w:val="FootnoteReference"/>
              </w:rPr>
              <w:footnoteReference w:id="4"/>
            </w:r>
          </w:p>
        </w:tc>
      </w:tr>
      <w:tr w:rsidR="00425E57" w:rsidRPr="008B562D" w14:paraId="34497627" w14:textId="77777777" w:rsidTr="009C5F56">
        <w:tc>
          <w:tcPr>
            <w:tcW w:w="2410" w:type="dxa"/>
          </w:tcPr>
          <w:p w14:paraId="3A8743A0" w14:textId="77777777" w:rsidR="00425E57" w:rsidRPr="008B562D" w:rsidRDefault="00425E57" w:rsidP="00E12B44">
            <w:r w:rsidRPr="008B562D">
              <w:t>Trading Fee Rebate Per Contract</w:t>
            </w:r>
          </w:p>
        </w:tc>
        <w:tc>
          <w:tcPr>
            <w:tcW w:w="2235" w:type="dxa"/>
          </w:tcPr>
          <w:p w14:paraId="723A2557" w14:textId="77777777" w:rsidR="00425E57" w:rsidRPr="008B562D" w:rsidRDefault="00425E57" w:rsidP="00E12B44">
            <w:pPr>
              <w:jc w:val="both"/>
            </w:pPr>
            <w:r w:rsidRPr="008B562D">
              <w:t xml:space="preserve">HK$6.50 </w:t>
            </w:r>
          </w:p>
          <w:p w14:paraId="3BB7811A" w14:textId="77777777" w:rsidR="00425E57" w:rsidRPr="008B562D" w:rsidRDefault="00425E57" w:rsidP="00E12B44">
            <w:pPr>
              <w:jc w:val="both"/>
            </w:pPr>
            <w:r w:rsidRPr="008B562D">
              <w:t>(i.e. 65% rebate)</w:t>
            </w:r>
          </w:p>
        </w:tc>
        <w:tc>
          <w:tcPr>
            <w:tcW w:w="2126" w:type="dxa"/>
          </w:tcPr>
          <w:p w14:paraId="09E09E16" w14:textId="77777777" w:rsidR="00425E57" w:rsidRPr="008B562D" w:rsidRDefault="00425E57" w:rsidP="00E12B44">
            <w:pPr>
              <w:jc w:val="both"/>
            </w:pPr>
            <w:r w:rsidRPr="008B562D">
              <w:t xml:space="preserve">HK$2.50 </w:t>
            </w:r>
          </w:p>
          <w:p w14:paraId="091D6B17" w14:textId="77777777" w:rsidR="00425E57" w:rsidRPr="008B562D" w:rsidRDefault="00425E57" w:rsidP="00E12B44">
            <w:pPr>
              <w:jc w:val="both"/>
            </w:pPr>
            <w:r w:rsidRPr="008B562D">
              <w:t>(i.e. 71% rebate)</w:t>
            </w:r>
          </w:p>
        </w:tc>
        <w:tc>
          <w:tcPr>
            <w:tcW w:w="2268" w:type="dxa"/>
          </w:tcPr>
          <w:p w14:paraId="48A21491" w14:textId="77777777" w:rsidR="00425E57" w:rsidRPr="008B562D" w:rsidRDefault="00425E57" w:rsidP="00E12B44">
            <w:pPr>
              <w:jc w:val="both"/>
            </w:pPr>
            <w:r w:rsidRPr="008B562D">
              <w:t xml:space="preserve">RMB 3.00 </w:t>
            </w:r>
          </w:p>
          <w:p w14:paraId="0CFBD5E5" w14:textId="77777777" w:rsidR="00425E57" w:rsidRPr="008B562D" w:rsidRDefault="00425E57" w:rsidP="00E12B44">
            <w:pPr>
              <w:jc w:val="both"/>
            </w:pPr>
            <w:r w:rsidRPr="008B562D">
              <w:t>(i.e. 37% rebate)</w:t>
            </w:r>
          </w:p>
        </w:tc>
      </w:tr>
    </w:tbl>
    <w:p w14:paraId="01468658" w14:textId="79EC255E" w:rsidR="00425E57" w:rsidRDefault="00425E57" w:rsidP="00425E57">
      <w:pPr>
        <w:ind w:leftChars="300" w:left="600"/>
        <w:jc w:val="both"/>
        <w:rPr>
          <w:rFonts w:eastAsia="新細明體"/>
          <w:sz w:val="18"/>
          <w:szCs w:val="22"/>
          <w:lang w:val="en-GB" w:eastAsia="zh-TW"/>
        </w:rPr>
      </w:pPr>
      <w:r w:rsidRPr="00A110CB">
        <w:rPr>
          <w:rFonts w:eastAsia="新細明體"/>
          <w:sz w:val="18"/>
          <w:szCs w:val="22"/>
          <w:lang w:val="en-GB" w:eastAsia="zh-TW"/>
        </w:rPr>
        <w:t>Notes: * Clearing volumes of HSIF / HHIF which have been claimed for trading fee discount by HSI/HHI options market makers are not entitled for further trading fee rebate.</w:t>
      </w:r>
    </w:p>
    <w:p w14:paraId="099C9F16" w14:textId="77777777" w:rsidR="00425E57" w:rsidRDefault="00425E57" w:rsidP="00425E57">
      <w:pPr>
        <w:ind w:leftChars="300" w:left="600"/>
        <w:jc w:val="both"/>
        <w:rPr>
          <w:rFonts w:eastAsia="新細明體"/>
          <w:sz w:val="18"/>
          <w:szCs w:val="22"/>
          <w:lang w:val="en-GB" w:eastAsia="zh-TW"/>
        </w:rPr>
      </w:pPr>
    </w:p>
    <w:p w14:paraId="588FBC8C" w14:textId="34C8ACAD" w:rsidR="00425E57" w:rsidRPr="00A110CB" w:rsidRDefault="00425E57" w:rsidP="00425E57">
      <w:pPr>
        <w:ind w:leftChars="300" w:left="600"/>
        <w:jc w:val="both"/>
        <w:rPr>
          <w:rFonts w:eastAsia="新細明體"/>
          <w:sz w:val="18"/>
          <w:szCs w:val="22"/>
          <w:lang w:val="en-GB" w:eastAsia="zh-TW"/>
        </w:rPr>
      </w:pPr>
      <w:r w:rsidRPr="00A110CB">
        <w:rPr>
          <w:rFonts w:eastAsia="新細明體"/>
          <w:sz w:val="18"/>
          <w:szCs w:val="22"/>
          <w:lang w:val="en-GB" w:eastAsia="zh-TW"/>
        </w:rPr>
        <w:t>** Clearing volumes of CNH</w:t>
      </w:r>
      <w:r w:rsidR="00BB3B8D">
        <w:rPr>
          <w:rFonts w:eastAsia="新細明體"/>
          <w:sz w:val="18"/>
          <w:szCs w:val="22"/>
          <w:lang w:val="en-GB" w:eastAsia="zh-TW"/>
        </w:rPr>
        <w:t>F</w:t>
      </w:r>
      <w:r w:rsidRPr="00A110CB">
        <w:rPr>
          <w:rFonts w:eastAsia="新細明體"/>
          <w:sz w:val="18"/>
          <w:szCs w:val="22"/>
          <w:lang w:val="en-GB" w:eastAsia="zh-TW"/>
        </w:rPr>
        <w:t xml:space="preserve"> which have been claimed for trading fee rebate by CNH</w:t>
      </w:r>
      <w:r w:rsidR="00BB3B8D">
        <w:rPr>
          <w:rFonts w:eastAsia="新細明體"/>
          <w:sz w:val="18"/>
          <w:szCs w:val="22"/>
          <w:lang w:val="en-GB" w:eastAsia="zh-TW"/>
        </w:rPr>
        <w:t>F</w:t>
      </w:r>
      <w:r w:rsidRPr="00A110CB">
        <w:rPr>
          <w:rFonts w:eastAsia="新細明體"/>
          <w:sz w:val="18"/>
          <w:szCs w:val="22"/>
          <w:lang w:val="en-GB" w:eastAsia="zh-TW"/>
        </w:rPr>
        <w:t xml:space="preserve"> Active Traders are not entitled to further trading fee rebate.  In addition, 100% of trading fee rebate (i.e. RMB 8) will be offered to CNHF LP if they meet the obligation and the trading fee rebate will not be counted in the rebate amount in cross-product trading fees.</w:t>
      </w:r>
    </w:p>
    <w:p w14:paraId="1D413CFC" w14:textId="77777777" w:rsidR="00425E57" w:rsidRPr="009951CA" w:rsidRDefault="00425E57" w:rsidP="00425E57">
      <w:pPr>
        <w:snapToGrid w:val="0"/>
        <w:rPr>
          <w:sz w:val="22"/>
          <w:szCs w:val="22"/>
          <w:lang w:val="en-GB"/>
        </w:rPr>
      </w:pPr>
    </w:p>
    <w:p w14:paraId="153669D4" w14:textId="79C618A5" w:rsidR="00B06E69" w:rsidRPr="00425E57" w:rsidRDefault="00B06E69" w:rsidP="00A30E3D">
      <w:pPr>
        <w:spacing w:line="360" w:lineRule="auto"/>
        <w:rPr>
          <w:sz w:val="22"/>
          <w:szCs w:val="22"/>
          <w:lang w:val="en-GB"/>
        </w:rPr>
      </w:pPr>
    </w:p>
    <w:sectPr w:rsidR="00B06E69" w:rsidRPr="00425E57" w:rsidSect="0070780F">
      <w:headerReference w:type="even" r:id="rId23"/>
      <w:headerReference w:type="default" r:id="rId24"/>
      <w:headerReference w:type="first" r:id="rId25"/>
      <w:footerReference w:type="first" r:id="rId26"/>
      <w:pgSz w:w="11900" w:h="16840"/>
      <w:pgMar w:top="1701" w:right="1134" w:bottom="1758"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90737" w14:textId="77777777" w:rsidR="00877BF0" w:rsidRDefault="00877BF0" w:rsidP="00703A6B">
      <w:r>
        <w:separator/>
      </w:r>
    </w:p>
  </w:endnote>
  <w:endnote w:type="continuationSeparator" w:id="0">
    <w:p w14:paraId="4936481E" w14:textId="77777777" w:rsidR="00877BF0" w:rsidRDefault="00877BF0" w:rsidP="0070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Microsoft JhengHei Bold">
    <w:altName w:val="Tw Cen MT Condensed Extra Bold"/>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77EB" w14:textId="6EDD3875" w:rsidR="00877BF0" w:rsidRDefault="00877BF0" w:rsidP="00806E53">
    <w:pPr>
      <w:pStyle w:val="Footer"/>
      <w:ind w:left="-1134"/>
    </w:pPr>
    <w:r>
      <w:rPr>
        <w:noProof/>
        <w:lang w:eastAsia="zh-CN"/>
      </w:rPr>
      <w:drawing>
        <wp:inline distT="0" distB="0" distL="0" distR="0" wp14:anchorId="37CBD04C" wp14:editId="2DCCEF2F">
          <wp:extent cx="7564612" cy="11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Letterhead_address.png"/>
                  <pic:cNvPicPr/>
                </pic:nvPicPr>
                <pic:blipFill>
                  <a:blip r:embed="rId1">
                    <a:extLst>
                      <a:ext uri="{28A0092B-C50C-407E-A947-70E740481C1C}">
                        <a14:useLocalDpi xmlns:a14="http://schemas.microsoft.com/office/drawing/2010/main" val="0"/>
                      </a:ext>
                    </a:extLst>
                  </a:blip>
                  <a:stretch>
                    <a:fillRect/>
                  </a:stretch>
                </pic:blipFill>
                <pic:spPr>
                  <a:xfrm>
                    <a:off x="0" y="0"/>
                    <a:ext cx="7564612" cy="1116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DE08" w14:textId="77777777" w:rsidR="00877BF0" w:rsidRDefault="00877BF0" w:rsidP="00703A6B">
      <w:r>
        <w:separator/>
      </w:r>
    </w:p>
  </w:footnote>
  <w:footnote w:type="continuationSeparator" w:id="0">
    <w:p w14:paraId="3062774F" w14:textId="77777777" w:rsidR="00877BF0" w:rsidRDefault="00877BF0" w:rsidP="00703A6B">
      <w:r>
        <w:continuationSeparator/>
      </w:r>
    </w:p>
  </w:footnote>
  <w:footnote w:id="1">
    <w:p w14:paraId="1892BE3F" w14:textId="1F823EBA" w:rsidR="00877BF0" w:rsidRPr="00FB6F07" w:rsidRDefault="00877BF0">
      <w:pPr>
        <w:pStyle w:val="FootnoteText"/>
        <w:rPr>
          <w:rFonts w:ascii="Arial" w:hAnsi="Arial" w:cs="Arial"/>
        </w:rPr>
      </w:pPr>
      <w:r w:rsidRPr="00FB6F07">
        <w:rPr>
          <w:rStyle w:val="FootnoteReference"/>
          <w:rFonts w:ascii="Arial" w:hAnsi="Arial" w:cs="Arial"/>
        </w:rPr>
        <w:footnoteRef/>
      </w:r>
      <w:r w:rsidRPr="00FB6F07">
        <w:rPr>
          <w:rFonts w:ascii="Arial" w:hAnsi="Arial" w:cs="Arial"/>
        </w:rPr>
        <w:t xml:space="preserve"> The revised obligations will be appli</w:t>
      </w:r>
      <w:r>
        <w:rPr>
          <w:rFonts w:ascii="Arial" w:hAnsi="Arial" w:cs="Arial"/>
        </w:rPr>
        <w:t>ed</w:t>
      </w:r>
      <w:r w:rsidRPr="00FB6F07">
        <w:rPr>
          <w:rFonts w:ascii="Arial" w:hAnsi="Arial" w:cs="Arial"/>
        </w:rPr>
        <w:t xml:space="preserve"> to existing Proprietary Traders as well.</w:t>
      </w:r>
    </w:p>
  </w:footnote>
  <w:footnote w:id="2">
    <w:p w14:paraId="6ACD63EA" w14:textId="77777777" w:rsidR="00877BF0" w:rsidRPr="008B562D" w:rsidRDefault="00877BF0" w:rsidP="00425E57">
      <w:pPr>
        <w:pStyle w:val="FootnoteText"/>
        <w:rPr>
          <w:rFonts w:ascii="Arial" w:hAnsi="Arial" w:cs="Arial"/>
          <w:sz w:val="18"/>
          <w:szCs w:val="18"/>
        </w:rPr>
      </w:pPr>
      <w:r w:rsidRPr="008B562D">
        <w:rPr>
          <w:rStyle w:val="FootnoteReference"/>
          <w:rFonts w:ascii="Arial" w:hAnsi="Arial" w:cs="Arial"/>
          <w:sz w:val="18"/>
          <w:szCs w:val="18"/>
        </w:rPr>
        <w:footnoteRef/>
      </w:r>
      <w:r w:rsidRPr="008B562D">
        <w:rPr>
          <w:rFonts w:ascii="Arial" w:hAnsi="Arial" w:cs="Arial"/>
          <w:sz w:val="18"/>
          <w:szCs w:val="18"/>
        </w:rPr>
        <w:t xml:space="preserve"> A maximum total of 50 Securities Throttles waivers will be granted to LPs and market makers (on a first-come-first-serve basis).</w:t>
      </w:r>
    </w:p>
  </w:footnote>
  <w:footnote w:id="3">
    <w:p w14:paraId="647EF613" w14:textId="77777777" w:rsidR="00877BF0" w:rsidRPr="008B562D" w:rsidRDefault="00877BF0" w:rsidP="00425E57">
      <w:pPr>
        <w:pStyle w:val="FootnoteText"/>
        <w:rPr>
          <w:sz w:val="18"/>
          <w:szCs w:val="18"/>
        </w:rPr>
      </w:pPr>
      <w:r w:rsidRPr="008B562D">
        <w:rPr>
          <w:rStyle w:val="FootnoteReference"/>
          <w:sz w:val="18"/>
          <w:szCs w:val="18"/>
        </w:rPr>
        <w:footnoteRef/>
      </w:r>
      <w:r w:rsidRPr="008B562D">
        <w:rPr>
          <w:rFonts w:ascii="Arial" w:hAnsi="Arial" w:cs="Arial"/>
          <w:sz w:val="18"/>
          <w:szCs w:val="18"/>
        </w:rPr>
        <w:t xml:space="preserve"> Market data fee rebate includes relevant licence fees, connection fees and usage fees.</w:t>
      </w:r>
    </w:p>
  </w:footnote>
  <w:footnote w:id="4">
    <w:p w14:paraId="75B330A8" w14:textId="0F53C00B" w:rsidR="00877BF0" w:rsidRDefault="00877BF0" w:rsidP="00425E57">
      <w:pPr>
        <w:snapToGrid w:val="0"/>
        <w:ind w:firstLine="1"/>
        <w:jc w:val="both"/>
      </w:pPr>
      <w:r w:rsidRPr="008B562D">
        <w:rPr>
          <w:rFonts w:eastAsia="新細明體"/>
          <w:sz w:val="18"/>
          <w:szCs w:val="18"/>
          <w:vertAlign w:val="superscript"/>
        </w:rPr>
        <w:footnoteRef/>
      </w:r>
      <w:r w:rsidRPr="008B562D">
        <w:rPr>
          <w:rFonts w:eastAsia="新細明體"/>
          <w:sz w:val="18"/>
          <w:szCs w:val="18"/>
          <w:lang w:val="en-GB"/>
        </w:rPr>
        <w:t xml:space="preserve"> </w:t>
      </w:r>
      <w:r>
        <w:rPr>
          <w:rFonts w:eastAsia="新細明體"/>
          <w:sz w:val="18"/>
          <w:szCs w:val="18"/>
          <w:lang w:val="en-GB"/>
        </w:rPr>
        <w:t>CNHF f</w:t>
      </w:r>
      <w:r w:rsidRPr="008B562D">
        <w:rPr>
          <w:rFonts w:eastAsia="新細明體"/>
          <w:sz w:val="18"/>
          <w:szCs w:val="18"/>
          <w:lang w:val="en-GB"/>
        </w:rPr>
        <w:t>ee rebate will be converted to HK dollars based on the foreign exchange rate at the time of payment calculation.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96B0" w14:textId="77777777" w:rsidR="00877BF0" w:rsidRDefault="00877BF0" w:rsidP="008312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13E87" w14:textId="77777777" w:rsidR="00877BF0" w:rsidRDefault="00877BF0" w:rsidP="009D4B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DD12" w14:textId="6E638DD4" w:rsidR="00877BF0" w:rsidRDefault="00877BF0" w:rsidP="009D4BF7">
    <w:pPr>
      <w:pStyle w:val="Header"/>
      <w:ind w:right="360"/>
    </w:pPr>
    <w:r w:rsidRPr="00F9153C">
      <w:rPr>
        <w:noProof/>
        <w:lang w:eastAsia="zh-CN"/>
      </w:rPr>
      <w:drawing>
        <wp:anchor distT="0" distB="0" distL="114300" distR="114300" simplePos="0" relativeHeight="251692032" behindDoc="0" locked="0" layoutInCell="1" allowOverlap="1" wp14:anchorId="329A84E2" wp14:editId="6C3EBFBC">
          <wp:simplePos x="0" y="0"/>
          <wp:positionH relativeFrom="margin">
            <wp:posOffset>-720090</wp:posOffset>
          </wp:positionH>
          <wp:positionV relativeFrom="page">
            <wp:posOffset>9525</wp:posOffset>
          </wp:positionV>
          <wp:extent cx="7559675" cy="1578610"/>
          <wp:effectExtent l="0" t="0" r="3175" b="2540"/>
          <wp:wrapThrough wrapText="bothSides">
            <wp:wrapPolygon edited="0">
              <wp:start x="0" y="0"/>
              <wp:lineTo x="0" y="21374"/>
              <wp:lineTo x="21555" y="21374"/>
              <wp:lineTo x="21555" y="0"/>
              <wp:lineTo x="0" y="0"/>
            </wp:wrapPolygon>
          </wp:wrapThrough>
          <wp:docPr id="4" name="Picture 4"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53C">
      <w:rPr>
        <w:noProof/>
        <w:lang w:eastAsia="zh-CN"/>
      </w:rPr>
      <mc:AlternateContent>
        <mc:Choice Requires="wps">
          <w:drawing>
            <wp:anchor distT="0" distB="0" distL="114300" distR="114300" simplePos="0" relativeHeight="251693056" behindDoc="0" locked="0" layoutInCell="1" allowOverlap="1" wp14:anchorId="362D01CF" wp14:editId="706BA250">
              <wp:simplePos x="0" y="0"/>
              <wp:positionH relativeFrom="column">
                <wp:posOffset>5099685</wp:posOffset>
              </wp:positionH>
              <wp:positionV relativeFrom="paragraph">
                <wp:posOffset>188595</wp:posOffset>
              </wp:positionV>
              <wp:extent cx="1200150" cy="4095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2001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C05D9" w14:textId="77777777" w:rsidR="00877BF0" w:rsidRDefault="00877BF0" w:rsidP="00F9153C">
                          <w:pPr>
                            <w:tabs>
                              <w:tab w:val="left" w:pos="1276"/>
                              <w:tab w:val="left" w:pos="3119"/>
                            </w:tabs>
                          </w:pPr>
                          <w:r>
                            <w:tab/>
                          </w:r>
                          <w:r>
                            <w:fldChar w:fldCharType="begin"/>
                          </w:r>
                          <w:r>
                            <w:instrText xml:space="preserve"> PAGE   \* MERGEFORMAT </w:instrText>
                          </w:r>
                          <w:r>
                            <w:fldChar w:fldCharType="separate"/>
                          </w:r>
                          <w:r w:rsidR="00D879C4">
                            <w:rPr>
                              <w:noProof/>
                            </w:rPr>
                            <w:t>9</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01.55pt;margin-top:14.85pt;width:94.5pt;height: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" fillcolor="white [3201]" stroked="f" strokeweight=".5pt">
              <v:textbox>
                <w:txbxContent>
                  <w:p w14:paraId="202C05D9" w14:textId="77777777" w:rsidR="00877BF0" w:rsidRDefault="00877BF0" w:rsidP="00F9153C">
                    <w:pPr>
                      <w:tabs>
                        <w:tab w:val="left" w:pos="1276"/>
                        <w:tab w:val="left" w:pos="3119"/>
                      </w:tabs>
                    </w:pPr>
                    <w:r>
                      <w:tab/>
                    </w:r>
                    <w:r>
                      <w:fldChar w:fldCharType="begin"/>
                    </w:r>
                    <w:r>
                      <w:instrText xml:space="preserve"> PAGE   \* MERGEFORMAT </w:instrText>
                    </w:r>
                    <w:r>
                      <w:fldChar w:fldCharType="separate"/>
                    </w:r>
                    <w:r w:rsidR="00D879C4">
                      <w:rPr>
                        <w:noProof/>
                      </w:rPr>
                      <w:t>9</w:t>
                    </w:r>
                    <w:r>
                      <w:rPr>
                        <w:noProof/>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858D" w14:textId="4C954638" w:rsidR="00877BF0" w:rsidRDefault="00877BF0" w:rsidP="00D97245">
    <w:pPr>
      <w:pStyle w:val="Header"/>
    </w:pPr>
  </w:p>
  <w:p w14:paraId="1B2A72E1" w14:textId="77777777" w:rsidR="00877BF0" w:rsidRDefault="00877BF0" w:rsidP="00D97245">
    <w:pPr>
      <w:pStyle w:val="Header"/>
    </w:pPr>
  </w:p>
  <w:p w14:paraId="4685D07E" w14:textId="77777777" w:rsidR="00877BF0" w:rsidRDefault="00877BF0" w:rsidP="00D97245">
    <w:pPr>
      <w:pStyle w:val="Header"/>
    </w:pPr>
  </w:p>
  <w:p w14:paraId="169C58CD" w14:textId="77777777" w:rsidR="00877BF0" w:rsidRDefault="00877BF0" w:rsidP="00D97245">
    <w:pPr>
      <w:pStyle w:val="Header"/>
    </w:pPr>
  </w:p>
  <w:p w14:paraId="070780F3" w14:textId="77777777" w:rsidR="00877BF0" w:rsidRDefault="00877BF0" w:rsidP="00D97245">
    <w:pPr>
      <w:pStyle w:val="Header"/>
    </w:pPr>
  </w:p>
  <w:p w14:paraId="45EAA0E6" w14:textId="77777777" w:rsidR="00877BF0" w:rsidRDefault="00877BF0" w:rsidP="00D97245">
    <w:pPr>
      <w:pStyle w:val="Header"/>
    </w:pPr>
  </w:p>
  <w:p w14:paraId="15C6768A" w14:textId="318C609D" w:rsidR="00877BF0" w:rsidRDefault="00877BF0" w:rsidP="003E0B75">
    <w:pPr>
      <w:pStyle w:val="Header"/>
      <w:tabs>
        <w:tab w:val="left" w:pos="851"/>
      </w:tabs>
    </w:pPr>
    <w:r>
      <w:rPr>
        <w:noProof/>
        <w:lang w:eastAsia="zh-CN"/>
      </w:rPr>
      <mc:AlternateContent>
        <mc:Choice Requires="wps">
          <w:drawing>
            <wp:anchor distT="0" distB="0" distL="114300" distR="114300" simplePos="0" relativeHeight="251689984" behindDoc="0" locked="0" layoutInCell="1" allowOverlap="1" wp14:anchorId="1DB5D677" wp14:editId="5240662D">
              <wp:simplePos x="0" y="0"/>
              <wp:positionH relativeFrom="page">
                <wp:posOffset>727710</wp:posOffset>
              </wp:positionH>
              <wp:positionV relativeFrom="page">
                <wp:posOffset>1414145</wp:posOffset>
              </wp:positionV>
              <wp:extent cx="114935" cy="1606550"/>
              <wp:effectExtent l="0" t="0" r="18415" b="10795"/>
              <wp:wrapThrough wrapText="bothSides">
                <wp:wrapPolygon edited="0">
                  <wp:start x="0" y="0"/>
                  <wp:lineTo x="0" y="21484"/>
                  <wp:lineTo x="21481" y="21484"/>
                  <wp:lineTo x="21481"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114935" cy="160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0" w:type="auto"/>
                            <w:tblCellMar>
                              <w:left w:w="0" w:type="dxa"/>
                              <w:right w:w="0" w:type="dxa"/>
                            </w:tblCellMar>
                            <w:tblLook w:val="04A0" w:firstRow="1" w:lastRow="0" w:firstColumn="1" w:lastColumn="0" w:noHBand="0" w:noVBand="1"/>
                          </w:tblPr>
                          <w:tblGrid>
                            <w:gridCol w:w="9632"/>
                          </w:tblGrid>
                          <w:tr w:rsidR="00877BF0" w14:paraId="2867F5D2" w14:textId="77777777" w:rsidTr="00E075A7">
                            <w:trPr>
                              <w:trHeight w:val="342"/>
                            </w:trPr>
                            <w:tc>
                              <w:tcPr>
                                <w:tcW w:w="9632" w:type="dxa"/>
                                <w:tcBorders>
                                  <w:top w:val="nil"/>
                                  <w:left w:val="nil"/>
                                  <w:bottom w:val="nil"/>
                                  <w:right w:val="nil"/>
                                </w:tcBorders>
                              </w:tcPr>
                              <w:p w14:paraId="0BA71C34" w14:textId="77777777" w:rsidR="00877BF0" w:rsidRPr="00306BC1" w:rsidRDefault="00877BF0" w:rsidP="00306BC1">
                                <w:pPr>
                                  <w:pStyle w:val="Header"/>
                                  <w:spacing w:line="260" w:lineRule="exact"/>
                                  <w:rPr>
                                    <w:rFonts w:ascii="微軟正黑體" w:eastAsia="微軟正黑體" w:hAnsi="微軟正黑體"/>
                                    <w:noProof/>
                                    <w:spacing w:val="30"/>
                                    <w:sz w:val="24"/>
                                    <w:szCs w:val="24"/>
                                    <w:lang w:eastAsia="zh-TW"/>
                                  </w:rPr>
                                </w:pPr>
                                <w:r w:rsidRPr="00306BC1">
                                  <w:rPr>
                                    <w:rFonts w:ascii="微軟正黑體" w:eastAsia="微軟正黑體" w:hAnsi="微軟正黑體" w:hint="eastAsia"/>
                                    <w:noProof/>
                                    <w:spacing w:val="30"/>
                                    <w:sz w:val="24"/>
                                    <w:szCs w:val="24"/>
                                    <w:lang w:eastAsia="zh-TW"/>
                                  </w:rPr>
                                  <w:t>香港期貨交易所有限公司</w:t>
                                </w:r>
                              </w:p>
                              <w:p w14:paraId="09401200" w14:textId="48D29E46" w:rsidR="00877BF0" w:rsidRPr="00042892" w:rsidRDefault="00877BF0" w:rsidP="00306BC1">
                                <w:pPr>
                                  <w:pStyle w:val="Header"/>
                                  <w:spacing w:line="260" w:lineRule="exact"/>
                                  <w:rPr>
                                    <w:rFonts w:ascii="微軟正黑體" w:eastAsia="微軟正黑體" w:hAnsi="微軟正黑體"/>
                                    <w:noProof/>
                                    <w:sz w:val="16"/>
                                    <w:szCs w:val="16"/>
                                    <w:lang w:eastAsia="zh-TW"/>
                                  </w:rPr>
                                </w:pPr>
                                <w:r w:rsidRPr="00306BC1">
                                  <w:rPr>
                                    <w:rFonts w:ascii="微軟正黑體" w:eastAsia="微軟正黑體" w:hAnsi="微軟正黑體" w:hint="eastAsia"/>
                                    <w:noProof/>
                                    <w:spacing w:val="30"/>
                                    <w:sz w:val="16"/>
                                    <w:szCs w:val="16"/>
                                    <w:lang w:eastAsia="zh-TW"/>
                                  </w:rPr>
                                  <w:t>(</w:t>
                                </w:r>
                                <w:r w:rsidRPr="00042892">
                                  <w:rPr>
                                    <w:rFonts w:ascii="微軟正黑體" w:eastAsia="微軟正黑體" w:hAnsi="微軟正黑體" w:hint="eastAsia"/>
                                    <w:noProof/>
                                    <w:sz w:val="16"/>
                                    <w:szCs w:val="16"/>
                                    <w:lang w:eastAsia="zh-TW"/>
                                  </w:rPr>
                                  <w:t>香港交易及結算所有限公司全資附屬公司)</w:t>
                                </w:r>
                              </w:p>
                              <w:p w14:paraId="504768D5" w14:textId="77777777" w:rsidR="00877BF0" w:rsidRPr="00503B06" w:rsidRDefault="00877BF0" w:rsidP="00F44AB2">
                                <w:pPr>
                                  <w:tabs>
                                    <w:tab w:val="left" w:pos="5520"/>
                                  </w:tabs>
                                  <w:spacing w:line="360" w:lineRule="exact"/>
                                  <w:rPr>
                                    <w:sz w:val="24"/>
                                    <w:szCs w:val="24"/>
                                    <w:lang w:eastAsia="zh-HK"/>
                                  </w:rPr>
                                </w:pPr>
                                <w:r w:rsidRPr="00503B06">
                                  <w:rPr>
                                    <w:rFonts w:eastAsia="新細明體"/>
                                    <w:sz w:val="24"/>
                                    <w:szCs w:val="24"/>
                                    <w:lang w:eastAsia="zh-HK"/>
                                  </w:rPr>
                                  <w:t>HONG KONG FUTURES EXCHANGE LIMITED</w:t>
                                </w:r>
                              </w:p>
                              <w:p w14:paraId="2341A51C" w14:textId="5BF67C9A" w:rsidR="00877BF0" w:rsidRDefault="00877BF0" w:rsidP="00503B06">
                                <w:pPr>
                                  <w:pStyle w:val="Header"/>
                                </w:pPr>
                                <w:r w:rsidRPr="00204AE6">
                                  <w:rPr>
                                    <w:noProof/>
                                    <w:sz w:val="16"/>
                                    <w:szCs w:val="16"/>
                                  </w:rPr>
                                  <w:t>(A wholly-owned subsidiary of Hong Kong Exchanges and Clearing Limited)</w:t>
                                </w:r>
                              </w:p>
                            </w:tc>
                          </w:tr>
                          <w:tr w:rsidR="00877BF0" w14:paraId="4F1AB5BA" w14:textId="77777777" w:rsidTr="00E075A7">
                            <w:trPr>
                              <w:trHeight w:val="892"/>
                            </w:trPr>
                            <w:tc>
                              <w:tcPr>
                                <w:tcW w:w="9632" w:type="dxa"/>
                                <w:tcBorders>
                                  <w:top w:val="nil"/>
                                  <w:left w:val="nil"/>
                                  <w:bottom w:val="nil"/>
                                  <w:right w:val="nil"/>
                                </w:tcBorders>
                                <w:vAlign w:val="bottom"/>
                              </w:tcPr>
                              <w:p w14:paraId="374E3A2E" w14:textId="1874F5E1" w:rsidR="00877BF0" w:rsidRDefault="00877BF0" w:rsidP="0057323B">
                                <w:pPr>
                                  <w:pStyle w:val="Header"/>
                                </w:pPr>
                                <w:r w:rsidRPr="008A03E0">
                                  <w:rPr>
                                    <w:rFonts w:ascii="微軟正黑體" w:eastAsia="微軟正黑體" w:hAnsi="微軟正黑體" w:hint="eastAsia"/>
                                    <w:noProof/>
                                    <w:sz w:val="32"/>
                                    <w:szCs w:val="32"/>
                                    <w:lang w:eastAsia="zh-TW"/>
                                  </w:rPr>
                                  <w:t>通告</w:t>
                                </w:r>
                                <w:r>
                                  <w:rPr>
                                    <w:noProof/>
                                    <w:lang w:eastAsia="zh-TW"/>
                                  </w:rPr>
                                  <w:t xml:space="preserve">  </w:t>
                                </w:r>
                                <w:r w:rsidRPr="00204AE6">
                                  <w:rPr>
                                    <w:noProof/>
                                    <w:sz w:val="32"/>
                                    <w:szCs w:val="32"/>
                                    <w:lang w:eastAsia="zh-TW"/>
                                  </w:rPr>
                                  <w:t>CIRCULAR</w:t>
                                </w:r>
                              </w:p>
                            </w:tc>
                          </w:tr>
                          <w:tr w:rsidR="00877BF0" w14:paraId="61954FB9" w14:textId="77777777" w:rsidTr="00E075A7">
                            <w:trPr>
                              <w:trHeight w:hRule="exact" w:val="227"/>
                            </w:trPr>
                            <w:tc>
                              <w:tcPr>
                                <w:tcW w:w="9632" w:type="dxa"/>
                                <w:tcBorders>
                                  <w:top w:val="nil"/>
                                  <w:left w:val="nil"/>
                                  <w:bottom w:val="single" w:sz="2" w:space="0" w:color="auto"/>
                                  <w:right w:val="nil"/>
                                </w:tcBorders>
                              </w:tcPr>
                              <w:p w14:paraId="4EBA7131" w14:textId="3A9B86CF" w:rsidR="00877BF0" w:rsidRDefault="00877BF0" w:rsidP="0057323B">
                                <w:pPr>
                                  <w:pStyle w:val="Header"/>
                                </w:pPr>
                              </w:p>
                            </w:tc>
                          </w:tr>
                        </w:tbl>
                        <w:p w14:paraId="64E1FCD1" w14:textId="77777777" w:rsidR="00877BF0" w:rsidRPr="00DD321D" w:rsidRDefault="00877BF0" w:rsidP="0057323B">
                          <w:pPr>
                            <w:pStyle w:val="Heade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7.3pt;margin-top:111.35pt;width:9.05pt;height:126.5pt;z-index:2516899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" filled="f" stroked="f">
              <v:textbox style="mso-fit-shape-to-text:t" inset="0,0,0,0">
                <w:txbxContent>
                  <w:tbl>
                    <w:tblPr>
                      <w:tblStyle w:val="TableGrid"/>
                      <w:tblW w:w="0" w:type="auto"/>
                      <w:tblCellMar>
                        <w:left w:w="0" w:type="dxa"/>
                        <w:right w:w="0" w:type="dxa"/>
                      </w:tblCellMar>
                      <w:tblLook w:val="04A0" w:firstRow="1" w:lastRow="0" w:firstColumn="1" w:lastColumn="0" w:noHBand="0" w:noVBand="1"/>
                    </w:tblPr>
                    <w:tblGrid>
                      <w:gridCol w:w="9632"/>
                    </w:tblGrid>
                    <w:tr w:rsidR="00877BF0" w14:paraId="2867F5D2" w14:textId="77777777" w:rsidTr="00E075A7">
                      <w:trPr>
                        <w:trHeight w:val="342"/>
                      </w:trPr>
                      <w:tc>
                        <w:tcPr>
                          <w:tcW w:w="9632" w:type="dxa"/>
                          <w:tcBorders>
                            <w:top w:val="nil"/>
                            <w:left w:val="nil"/>
                            <w:bottom w:val="nil"/>
                            <w:right w:val="nil"/>
                          </w:tcBorders>
                        </w:tcPr>
                        <w:p w14:paraId="0BA71C34" w14:textId="77777777" w:rsidR="00877BF0" w:rsidRPr="00306BC1" w:rsidRDefault="00877BF0" w:rsidP="00306BC1">
                          <w:pPr>
                            <w:pStyle w:val="Header"/>
                            <w:spacing w:line="260" w:lineRule="exact"/>
                            <w:rPr>
                              <w:rFonts w:ascii="微軟正黑體" w:eastAsia="微軟正黑體" w:hAnsi="微軟正黑體"/>
                              <w:noProof/>
                              <w:spacing w:val="30"/>
                              <w:sz w:val="24"/>
                              <w:szCs w:val="24"/>
                              <w:lang w:eastAsia="zh-TW"/>
                            </w:rPr>
                          </w:pPr>
                          <w:r w:rsidRPr="00306BC1">
                            <w:rPr>
                              <w:rFonts w:ascii="微軟正黑體" w:eastAsia="微軟正黑體" w:hAnsi="微軟正黑體" w:hint="eastAsia"/>
                              <w:noProof/>
                              <w:spacing w:val="30"/>
                              <w:sz w:val="24"/>
                              <w:szCs w:val="24"/>
                              <w:lang w:eastAsia="zh-TW"/>
                            </w:rPr>
                            <w:t>香港期貨交易所有限公司</w:t>
                          </w:r>
                        </w:p>
                        <w:p w14:paraId="09401200" w14:textId="48D29E46" w:rsidR="00877BF0" w:rsidRPr="00042892" w:rsidRDefault="00877BF0" w:rsidP="00306BC1">
                          <w:pPr>
                            <w:pStyle w:val="Header"/>
                            <w:spacing w:line="260" w:lineRule="exact"/>
                            <w:rPr>
                              <w:rFonts w:ascii="微軟正黑體" w:eastAsia="微軟正黑體" w:hAnsi="微軟正黑體"/>
                              <w:noProof/>
                              <w:sz w:val="16"/>
                              <w:szCs w:val="16"/>
                              <w:lang w:eastAsia="zh-TW"/>
                            </w:rPr>
                          </w:pPr>
                          <w:r w:rsidRPr="00306BC1">
                            <w:rPr>
                              <w:rFonts w:ascii="微軟正黑體" w:eastAsia="微軟正黑體" w:hAnsi="微軟正黑體" w:hint="eastAsia"/>
                              <w:noProof/>
                              <w:spacing w:val="30"/>
                              <w:sz w:val="16"/>
                              <w:szCs w:val="16"/>
                              <w:lang w:eastAsia="zh-TW"/>
                            </w:rPr>
                            <w:t>(</w:t>
                          </w:r>
                          <w:r w:rsidRPr="00042892">
                            <w:rPr>
                              <w:rFonts w:ascii="微軟正黑體" w:eastAsia="微軟正黑體" w:hAnsi="微軟正黑體" w:hint="eastAsia"/>
                              <w:noProof/>
                              <w:sz w:val="16"/>
                              <w:szCs w:val="16"/>
                              <w:lang w:eastAsia="zh-TW"/>
                            </w:rPr>
                            <w:t>香港交易及結算所有限公司全資附屬公司)</w:t>
                          </w:r>
                        </w:p>
                        <w:p w14:paraId="504768D5" w14:textId="77777777" w:rsidR="00877BF0" w:rsidRPr="00503B06" w:rsidRDefault="00877BF0" w:rsidP="00F44AB2">
                          <w:pPr>
                            <w:tabs>
                              <w:tab w:val="left" w:pos="5520"/>
                            </w:tabs>
                            <w:spacing w:line="360" w:lineRule="exact"/>
                            <w:rPr>
                              <w:sz w:val="24"/>
                              <w:szCs w:val="24"/>
                              <w:lang w:eastAsia="zh-HK"/>
                            </w:rPr>
                          </w:pPr>
                          <w:r w:rsidRPr="00503B06">
                            <w:rPr>
                              <w:rFonts w:eastAsia="新細明體"/>
                              <w:sz w:val="24"/>
                              <w:szCs w:val="24"/>
                              <w:lang w:eastAsia="zh-HK"/>
                            </w:rPr>
                            <w:t>HONG KONG FUTURES EXCHANGE LIMITED</w:t>
                          </w:r>
                        </w:p>
                        <w:p w14:paraId="2341A51C" w14:textId="5BF67C9A" w:rsidR="00877BF0" w:rsidRDefault="00877BF0" w:rsidP="00503B06">
                          <w:pPr>
                            <w:pStyle w:val="Header"/>
                          </w:pPr>
                          <w:r w:rsidRPr="00204AE6">
                            <w:rPr>
                              <w:noProof/>
                              <w:sz w:val="16"/>
                              <w:szCs w:val="16"/>
                            </w:rPr>
                            <w:t>(A wholly-owned subsidiary of Hong Kong Exchanges and Clearing Limited)</w:t>
                          </w:r>
                        </w:p>
                      </w:tc>
                    </w:tr>
                    <w:tr w:rsidR="00877BF0" w14:paraId="4F1AB5BA" w14:textId="77777777" w:rsidTr="00E075A7">
                      <w:trPr>
                        <w:trHeight w:val="892"/>
                      </w:trPr>
                      <w:tc>
                        <w:tcPr>
                          <w:tcW w:w="9632" w:type="dxa"/>
                          <w:tcBorders>
                            <w:top w:val="nil"/>
                            <w:left w:val="nil"/>
                            <w:bottom w:val="nil"/>
                            <w:right w:val="nil"/>
                          </w:tcBorders>
                          <w:vAlign w:val="bottom"/>
                        </w:tcPr>
                        <w:p w14:paraId="374E3A2E" w14:textId="1874F5E1" w:rsidR="00877BF0" w:rsidRDefault="00877BF0" w:rsidP="0057323B">
                          <w:pPr>
                            <w:pStyle w:val="Header"/>
                          </w:pPr>
                          <w:r w:rsidRPr="008A03E0">
                            <w:rPr>
                              <w:rFonts w:ascii="微軟正黑體" w:eastAsia="微軟正黑體" w:hAnsi="微軟正黑體" w:hint="eastAsia"/>
                              <w:noProof/>
                              <w:sz w:val="32"/>
                              <w:szCs w:val="32"/>
                              <w:lang w:eastAsia="zh-TW"/>
                            </w:rPr>
                            <w:t>通告</w:t>
                          </w:r>
                          <w:r>
                            <w:rPr>
                              <w:noProof/>
                              <w:lang w:eastAsia="zh-TW"/>
                            </w:rPr>
                            <w:t xml:space="preserve">  </w:t>
                          </w:r>
                          <w:r w:rsidRPr="00204AE6">
                            <w:rPr>
                              <w:noProof/>
                              <w:sz w:val="32"/>
                              <w:szCs w:val="32"/>
                              <w:lang w:eastAsia="zh-TW"/>
                            </w:rPr>
                            <w:t>CIRCULAR</w:t>
                          </w:r>
                        </w:p>
                      </w:tc>
                    </w:tr>
                    <w:tr w:rsidR="00877BF0" w14:paraId="61954FB9" w14:textId="77777777" w:rsidTr="00E075A7">
                      <w:trPr>
                        <w:trHeight w:hRule="exact" w:val="227"/>
                      </w:trPr>
                      <w:tc>
                        <w:tcPr>
                          <w:tcW w:w="9632" w:type="dxa"/>
                          <w:tcBorders>
                            <w:top w:val="nil"/>
                            <w:left w:val="nil"/>
                            <w:bottom w:val="single" w:sz="2" w:space="0" w:color="auto"/>
                            <w:right w:val="nil"/>
                          </w:tcBorders>
                        </w:tcPr>
                        <w:p w14:paraId="4EBA7131" w14:textId="3A9B86CF" w:rsidR="00877BF0" w:rsidRDefault="00877BF0" w:rsidP="0057323B">
                          <w:pPr>
                            <w:pStyle w:val="Header"/>
                          </w:pPr>
                        </w:p>
                      </w:tc>
                    </w:tr>
                  </w:tbl>
                  <w:p w14:paraId="64E1FCD1" w14:textId="77777777" w:rsidR="00877BF0" w:rsidRPr="00DD321D" w:rsidRDefault="00877BF0" w:rsidP="0057323B">
                    <w:pPr>
                      <w:pStyle w:val="Header"/>
                    </w:pPr>
                  </w:p>
                </w:txbxContent>
              </v:textbox>
              <w10:wrap type="through" anchorx="page" anchory="page"/>
            </v:shape>
          </w:pict>
        </mc:Fallback>
      </mc:AlternateContent>
    </w:r>
    <w:r>
      <w:rPr>
        <w:noProof/>
        <w:lang w:eastAsia="zh-CN"/>
      </w:rPr>
      <w:drawing>
        <wp:anchor distT="0" distB="0" distL="114300" distR="114300" simplePos="0" relativeHeight="251686912" behindDoc="0" locked="0" layoutInCell="1" allowOverlap="1" wp14:anchorId="139F04EF" wp14:editId="716338EE">
          <wp:simplePos x="0" y="0"/>
          <wp:positionH relativeFrom="margin">
            <wp:posOffset>-720090</wp:posOffset>
          </wp:positionH>
          <wp:positionV relativeFrom="page">
            <wp:posOffset>0</wp:posOffset>
          </wp:positionV>
          <wp:extent cx="7559675" cy="1578610"/>
          <wp:effectExtent l="0" t="0" r="9525" b="0"/>
          <wp:wrapThrough wrapText="bothSides">
            <wp:wrapPolygon edited="0">
              <wp:start x="0" y="0"/>
              <wp:lineTo x="0" y="21200"/>
              <wp:lineTo x="21555" y="21200"/>
              <wp:lineTo x="21555" y="0"/>
              <wp:lineTo x="0" y="0"/>
            </wp:wrapPolygon>
          </wp:wrapThrough>
          <wp:docPr id="2" name="Picture 2"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7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094"/>
    <w:multiLevelType w:val="hybridMultilevel"/>
    <w:tmpl w:val="C932034C"/>
    <w:lvl w:ilvl="0" w:tplc="9EB28EE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DD1080"/>
    <w:multiLevelType w:val="hybridMultilevel"/>
    <w:tmpl w:val="C5E8F1B4"/>
    <w:lvl w:ilvl="0" w:tplc="DE98EF6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40B0FD2"/>
    <w:multiLevelType w:val="hybridMultilevel"/>
    <w:tmpl w:val="228CAD8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18CD175F"/>
    <w:multiLevelType w:val="hybridMultilevel"/>
    <w:tmpl w:val="7DD03346"/>
    <w:lvl w:ilvl="0" w:tplc="202E0E44">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nsid w:val="1C034FE9"/>
    <w:multiLevelType w:val="multilevel"/>
    <w:tmpl w:val="A1A01606"/>
    <w:lvl w:ilvl="0">
      <w:start w:val="1"/>
      <w:numFmt w:val="decimal"/>
      <w:lvlText w:val="%1."/>
      <w:lvlJc w:val="left"/>
      <w:pPr>
        <w:tabs>
          <w:tab w:val="num" w:pos="480"/>
        </w:tabs>
        <w:ind w:left="480" w:hanging="480"/>
      </w:pPr>
      <w:rPr>
        <w:rFonts w:hint="eastAsia"/>
      </w:rPr>
    </w:lvl>
    <w:lvl w:ilvl="1">
      <w:start w:val="1"/>
      <w:numFmt w:val="lowerLetter"/>
      <w:lvlText w:val="%2)"/>
      <w:lvlJc w:val="righ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upperLetter"/>
      <w:lvlText w:val="%4."/>
      <w:lvlJc w:val="left"/>
      <w:pPr>
        <w:tabs>
          <w:tab w:val="num" w:pos="1800"/>
        </w:tabs>
        <w:ind w:left="1800" w:hanging="36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nsid w:val="1D6030AC"/>
    <w:multiLevelType w:val="hybridMultilevel"/>
    <w:tmpl w:val="0716224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5572C06"/>
    <w:multiLevelType w:val="hybridMultilevel"/>
    <w:tmpl w:val="2AC4E8B6"/>
    <w:lvl w:ilvl="0" w:tplc="238C361C">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E5C4067"/>
    <w:multiLevelType w:val="hybridMultilevel"/>
    <w:tmpl w:val="04082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64F13"/>
    <w:multiLevelType w:val="hybridMultilevel"/>
    <w:tmpl w:val="C0ECC6CA"/>
    <w:lvl w:ilvl="0" w:tplc="202E0E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43852A7"/>
    <w:multiLevelType w:val="multilevel"/>
    <w:tmpl w:val="A1A01606"/>
    <w:lvl w:ilvl="0">
      <w:start w:val="1"/>
      <w:numFmt w:val="decimal"/>
      <w:lvlText w:val="%1."/>
      <w:lvlJc w:val="left"/>
      <w:pPr>
        <w:tabs>
          <w:tab w:val="num" w:pos="480"/>
        </w:tabs>
        <w:ind w:left="480" w:hanging="480"/>
      </w:pPr>
      <w:rPr>
        <w:rFonts w:hint="eastAsia"/>
      </w:rPr>
    </w:lvl>
    <w:lvl w:ilvl="1">
      <w:start w:val="1"/>
      <w:numFmt w:val="lowerLetter"/>
      <w:lvlText w:val="%2)"/>
      <w:lvlJc w:val="righ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upperLetter"/>
      <w:lvlText w:val="%4."/>
      <w:lvlJc w:val="left"/>
      <w:pPr>
        <w:tabs>
          <w:tab w:val="num" w:pos="1800"/>
        </w:tabs>
        <w:ind w:left="1800" w:hanging="36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nsid w:val="4FD851DD"/>
    <w:multiLevelType w:val="multilevel"/>
    <w:tmpl w:val="18DC2F22"/>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upperLetter"/>
      <w:lvlText w:val="%4."/>
      <w:lvlJc w:val="left"/>
      <w:pPr>
        <w:tabs>
          <w:tab w:val="num" w:pos="1800"/>
        </w:tabs>
        <w:ind w:left="1800" w:hanging="36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nsid w:val="4FE25FD1"/>
    <w:multiLevelType w:val="hybridMultilevel"/>
    <w:tmpl w:val="27D2118E"/>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D626E7E4">
      <w:start w:val="1"/>
      <w:numFmt w:val="lowerLetter"/>
      <w:lvlText w:val="(%3)"/>
      <w:lvlJc w:val="left"/>
      <w:pPr>
        <w:ind w:left="1802" w:hanging="360"/>
      </w:pPr>
      <w:rPr>
        <w:rFont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53884C6B"/>
    <w:multiLevelType w:val="hybridMultilevel"/>
    <w:tmpl w:val="EA3EFA18"/>
    <w:lvl w:ilvl="0" w:tplc="04090001">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ABB0262"/>
    <w:multiLevelType w:val="hybridMultilevel"/>
    <w:tmpl w:val="3190E062"/>
    <w:lvl w:ilvl="0" w:tplc="A8F0A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6E4D43"/>
    <w:multiLevelType w:val="hybridMultilevel"/>
    <w:tmpl w:val="6D0CBEC0"/>
    <w:lvl w:ilvl="0" w:tplc="6CFA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B20B67"/>
    <w:multiLevelType w:val="hybridMultilevel"/>
    <w:tmpl w:val="490A9718"/>
    <w:lvl w:ilvl="0" w:tplc="1B0047CA">
      <w:start w:val="1"/>
      <w:numFmt w:val="lowerLetter"/>
      <w:lvlText w:val="%1."/>
      <w:lvlJc w:val="right"/>
      <w:pPr>
        <w:ind w:left="960" w:hanging="480"/>
      </w:pPr>
      <w:rPr>
        <w:rFonts w:ascii="Arial" w:hAnsi="Arial"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5"/>
  </w:num>
  <w:num w:numId="4">
    <w:abstractNumId w:val="10"/>
  </w:num>
  <w:num w:numId="5">
    <w:abstractNumId w:val="11"/>
  </w:num>
  <w:num w:numId="6">
    <w:abstractNumId w:val="15"/>
  </w:num>
  <w:num w:numId="7">
    <w:abstractNumId w:val="0"/>
  </w:num>
  <w:num w:numId="8">
    <w:abstractNumId w:val="8"/>
  </w:num>
  <w:num w:numId="9">
    <w:abstractNumId w:val="9"/>
  </w:num>
  <w:num w:numId="10">
    <w:abstractNumId w:val="3"/>
  </w:num>
  <w:num w:numId="11">
    <w:abstractNumId w:val="13"/>
  </w:num>
  <w:num w:numId="12">
    <w:abstractNumId w:val="1"/>
  </w:num>
  <w:num w:numId="13">
    <w:abstractNumId w:val="6"/>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 w:name="ShowStaticGuides" w:val="1"/>
  </w:docVars>
  <w:rsids>
    <w:rsidRoot w:val="00703A6B"/>
    <w:rsid w:val="00015C48"/>
    <w:rsid w:val="00042892"/>
    <w:rsid w:val="000523EC"/>
    <w:rsid w:val="000A588C"/>
    <w:rsid w:val="000C4822"/>
    <w:rsid w:val="000C4F82"/>
    <w:rsid w:val="000D143C"/>
    <w:rsid w:val="000E1450"/>
    <w:rsid w:val="000E35A4"/>
    <w:rsid w:val="00100A4D"/>
    <w:rsid w:val="00107F6E"/>
    <w:rsid w:val="00143E92"/>
    <w:rsid w:val="00182080"/>
    <w:rsid w:val="00187BE1"/>
    <w:rsid w:val="00203B0C"/>
    <w:rsid w:val="0020437A"/>
    <w:rsid w:val="00204AE6"/>
    <w:rsid w:val="00205172"/>
    <w:rsid w:val="00221517"/>
    <w:rsid w:val="002315CE"/>
    <w:rsid w:val="002640E3"/>
    <w:rsid w:val="002767D8"/>
    <w:rsid w:val="00284B17"/>
    <w:rsid w:val="002B5B12"/>
    <w:rsid w:val="00306BC1"/>
    <w:rsid w:val="003237BC"/>
    <w:rsid w:val="00333F12"/>
    <w:rsid w:val="0036393A"/>
    <w:rsid w:val="00380082"/>
    <w:rsid w:val="0038097B"/>
    <w:rsid w:val="003916DB"/>
    <w:rsid w:val="003A407F"/>
    <w:rsid w:val="003A4339"/>
    <w:rsid w:val="003B16DB"/>
    <w:rsid w:val="003B4DE4"/>
    <w:rsid w:val="003E0B75"/>
    <w:rsid w:val="003E19E7"/>
    <w:rsid w:val="003F49A4"/>
    <w:rsid w:val="00425E57"/>
    <w:rsid w:val="00447481"/>
    <w:rsid w:val="00467670"/>
    <w:rsid w:val="00472926"/>
    <w:rsid w:val="0049007A"/>
    <w:rsid w:val="00491002"/>
    <w:rsid w:val="004B0866"/>
    <w:rsid w:val="004C4597"/>
    <w:rsid w:val="00503B06"/>
    <w:rsid w:val="00537E9B"/>
    <w:rsid w:val="005568A2"/>
    <w:rsid w:val="0056398A"/>
    <w:rsid w:val="0057323B"/>
    <w:rsid w:val="00573F3F"/>
    <w:rsid w:val="005A4FF1"/>
    <w:rsid w:val="005B3A4A"/>
    <w:rsid w:val="005E2A91"/>
    <w:rsid w:val="006030AC"/>
    <w:rsid w:val="006140D4"/>
    <w:rsid w:val="00624237"/>
    <w:rsid w:val="00625CB7"/>
    <w:rsid w:val="00646BA6"/>
    <w:rsid w:val="00664B86"/>
    <w:rsid w:val="006E5273"/>
    <w:rsid w:val="00700F65"/>
    <w:rsid w:val="007016BF"/>
    <w:rsid w:val="00703A6B"/>
    <w:rsid w:val="0070780F"/>
    <w:rsid w:val="007210D3"/>
    <w:rsid w:val="00723269"/>
    <w:rsid w:val="00735251"/>
    <w:rsid w:val="00740CA9"/>
    <w:rsid w:val="007461A0"/>
    <w:rsid w:val="007858F4"/>
    <w:rsid w:val="0079275C"/>
    <w:rsid w:val="007A1D5E"/>
    <w:rsid w:val="007C692D"/>
    <w:rsid w:val="007D1AA5"/>
    <w:rsid w:val="007F51D1"/>
    <w:rsid w:val="00806E53"/>
    <w:rsid w:val="00823F2A"/>
    <w:rsid w:val="00831274"/>
    <w:rsid w:val="00865D1A"/>
    <w:rsid w:val="00877BF0"/>
    <w:rsid w:val="00883EED"/>
    <w:rsid w:val="008A03E0"/>
    <w:rsid w:val="008B562D"/>
    <w:rsid w:val="008B77CE"/>
    <w:rsid w:val="009120BF"/>
    <w:rsid w:val="00931868"/>
    <w:rsid w:val="0095215C"/>
    <w:rsid w:val="009665C4"/>
    <w:rsid w:val="0096672F"/>
    <w:rsid w:val="00967651"/>
    <w:rsid w:val="00997871"/>
    <w:rsid w:val="009A615D"/>
    <w:rsid w:val="009C161B"/>
    <w:rsid w:val="009C5F56"/>
    <w:rsid w:val="009D2716"/>
    <w:rsid w:val="009D4BF7"/>
    <w:rsid w:val="009D72D3"/>
    <w:rsid w:val="009E34B5"/>
    <w:rsid w:val="00A30E3D"/>
    <w:rsid w:val="00A3315E"/>
    <w:rsid w:val="00A9377F"/>
    <w:rsid w:val="00AF43B0"/>
    <w:rsid w:val="00AF45B4"/>
    <w:rsid w:val="00B06E69"/>
    <w:rsid w:val="00B42BB0"/>
    <w:rsid w:val="00B7196D"/>
    <w:rsid w:val="00B85B89"/>
    <w:rsid w:val="00BA2C14"/>
    <w:rsid w:val="00BA3C52"/>
    <w:rsid w:val="00BB3B8D"/>
    <w:rsid w:val="00BB56BE"/>
    <w:rsid w:val="00C105F2"/>
    <w:rsid w:val="00C17F17"/>
    <w:rsid w:val="00C44139"/>
    <w:rsid w:val="00C46FA6"/>
    <w:rsid w:val="00C54CF4"/>
    <w:rsid w:val="00C6173E"/>
    <w:rsid w:val="00C70417"/>
    <w:rsid w:val="00C779DF"/>
    <w:rsid w:val="00CE5635"/>
    <w:rsid w:val="00CF366E"/>
    <w:rsid w:val="00D15057"/>
    <w:rsid w:val="00D34329"/>
    <w:rsid w:val="00D879C4"/>
    <w:rsid w:val="00D97245"/>
    <w:rsid w:val="00DB0AEE"/>
    <w:rsid w:val="00DE62DB"/>
    <w:rsid w:val="00DF12D1"/>
    <w:rsid w:val="00DF693E"/>
    <w:rsid w:val="00E075A7"/>
    <w:rsid w:val="00E12B44"/>
    <w:rsid w:val="00E20999"/>
    <w:rsid w:val="00E86D21"/>
    <w:rsid w:val="00ED43F4"/>
    <w:rsid w:val="00F0097F"/>
    <w:rsid w:val="00F32A3A"/>
    <w:rsid w:val="00F42AE4"/>
    <w:rsid w:val="00F44AB2"/>
    <w:rsid w:val="00F505DC"/>
    <w:rsid w:val="00F53C77"/>
    <w:rsid w:val="00F75CB6"/>
    <w:rsid w:val="00F8538A"/>
    <w:rsid w:val="00F9153C"/>
    <w:rsid w:val="00F95DF7"/>
    <w:rsid w:val="00FB234D"/>
    <w:rsid w:val="00FB27E9"/>
    <w:rsid w:val="00FB6F07"/>
    <w:rsid w:val="00FC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BEB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6B"/>
    <w:pPr>
      <w:tabs>
        <w:tab w:val="center" w:pos="4320"/>
        <w:tab w:val="right" w:pos="8640"/>
      </w:tabs>
    </w:pPr>
  </w:style>
  <w:style w:type="character" w:customStyle="1" w:styleId="HeaderChar">
    <w:name w:val="Header Char"/>
    <w:basedOn w:val="DefaultParagraphFont"/>
    <w:link w:val="Header"/>
    <w:uiPriority w:val="99"/>
    <w:rsid w:val="00703A6B"/>
  </w:style>
  <w:style w:type="paragraph" w:styleId="Footer">
    <w:name w:val="footer"/>
    <w:basedOn w:val="Normal"/>
    <w:link w:val="FooterChar"/>
    <w:uiPriority w:val="99"/>
    <w:unhideWhenUsed/>
    <w:rsid w:val="00703A6B"/>
    <w:pPr>
      <w:tabs>
        <w:tab w:val="center" w:pos="4320"/>
        <w:tab w:val="right" w:pos="8640"/>
      </w:tabs>
    </w:pPr>
  </w:style>
  <w:style w:type="character" w:customStyle="1" w:styleId="FooterChar">
    <w:name w:val="Footer Char"/>
    <w:basedOn w:val="DefaultParagraphFont"/>
    <w:link w:val="Footer"/>
    <w:uiPriority w:val="99"/>
    <w:rsid w:val="00703A6B"/>
  </w:style>
  <w:style w:type="paragraph" w:styleId="BalloonText">
    <w:name w:val="Balloon Text"/>
    <w:basedOn w:val="Normal"/>
    <w:link w:val="BalloonTextChar"/>
    <w:uiPriority w:val="99"/>
    <w:semiHidden/>
    <w:unhideWhenUsed/>
    <w:rsid w:val="00703A6B"/>
    <w:rPr>
      <w:rFonts w:ascii="Lucida Grande" w:hAnsi="Lucida Grande" w:cs="Lucida Grande"/>
    </w:rPr>
  </w:style>
  <w:style w:type="character" w:customStyle="1" w:styleId="BalloonTextChar">
    <w:name w:val="Balloon Text Char"/>
    <w:basedOn w:val="DefaultParagraphFont"/>
    <w:link w:val="BalloonText"/>
    <w:uiPriority w:val="99"/>
    <w:semiHidden/>
    <w:rsid w:val="00703A6B"/>
    <w:rPr>
      <w:rFonts w:ascii="Lucida Grande" w:hAnsi="Lucida Grande" w:cs="Lucida Grande"/>
    </w:rPr>
  </w:style>
  <w:style w:type="table" w:styleId="TableGrid">
    <w:name w:val="Table Grid"/>
    <w:basedOn w:val="TableNormal"/>
    <w:uiPriority w:val="59"/>
    <w:rsid w:val="0005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D4BF7"/>
  </w:style>
  <w:style w:type="character" w:styleId="Hyperlink">
    <w:name w:val="Hyperlink"/>
    <w:basedOn w:val="DefaultParagraphFont"/>
    <w:uiPriority w:val="99"/>
    <w:unhideWhenUsed/>
    <w:rsid w:val="00425E57"/>
    <w:rPr>
      <w:color w:val="0000FF" w:themeColor="hyperlink"/>
      <w:u w:val="single"/>
    </w:rPr>
  </w:style>
  <w:style w:type="paragraph" w:styleId="ListParagraph">
    <w:name w:val="List Paragraph"/>
    <w:basedOn w:val="Normal"/>
    <w:uiPriority w:val="34"/>
    <w:qFormat/>
    <w:rsid w:val="00425E57"/>
    <w:pPr>
      <w:widowControl w:val="0"/>
      <w:ind w:leftChars="200" w:left="480"/>
    </w:pPr>
    <w:rPr>
      <w:rFonts w:ascii="Times New Roman" w:eastAsia="新細明體" w:hAnsi="Times New Roman" w:cs="Angsana New"/>
      <w:kern w:val="2"/>
      <w:sz w:val="24"/>
      <w:szCs w:val="24"/>
      <w:lang w:eastAsia="zh-TW"/>
    </w:rPr>
  </w:style>
  <w:style w:type="paragraph" w:styleId="BodyTextIndent">
    <w:name w:val="Body Text Indent"/>
    <w:basedOn w:val="Normal"/>
    <w:link w:val="BodyTextIndentChar"/>
    <w:uiPriority w:val="99"/>
    <w:semiHidden/>
    <w:unhideWhenUsed/>
    <w:rsid w:val="00425E57"/>
    <w:pPr>
      <w:spacing w:after="120"/>
      <w:ind w:leftChars="200" w:left="480"/>
    </w:pPr>
    <w:rPr>
      <w:rFonts w:eastAsia="MS Mincho"/>
    </w:rPr>
  </w:style>
  <w:style w:type="character" w:customStyle="1" w:styleId="BodyTextIndentChar">
    <w:name w:val="Body Text Indent Char"/>
    <w:basedOn w:val="DefaultParagraphFont"/>
    <w:link w:val="BodyTextIndent"/>
    <w:uiPriority w:val="99"/>
    <w:semiHidden/>
    <w:rsid w:val="00425E57"/>
    <w:rPr>
      <w:rFonts w:eastAsia="MS Mincho"/>
    </w:rPr>
  </w:style>
  <w:style w:type="paragraph" w:styleId="FootnoteText">
    <w:name w:val="footnote text"/>
    <w:basedOn w:val="Normal"/>
    <w:link w:val="FootnoteTextChar"/>
    <w:rsid w:val="00425E57"/>
    <w:pPr>
      <w:overflowPunct w:val="0"/>
      <w:autoSpaceDE w:val="0"/>
      <w:autoSpaceDN w:val="0"/>
      <w:adjustRightInd w:val="0"/>
      <w:textAlignment w:val="baseline"/>
    </w:pPr>
    <w:rPr>
      <w:rFonts w:ascii="Book Antiqua" w:eastAsia="新細明體" w:hAnsi="Book Antiqua" w:cs="Times New Roman"/>
      <w:lang w:eastAsia="zh-TW"/>
    </w:rPr>
  </w:style>
  <w:style w:type="character" w:customStyle="1" w:styleId="FootnoteTextChar">
    <w:name w:val="Footnote Text Char"/>
    <w:basedOn w:val="DefaultParagraphFont"/>
    <w:link w:val="FootnoteText"/>
    <w:rsid w:val="00425E57"/>
    <w:rPr>
      <w:rFonts w:ascii="Book Antiqua" w:eastAsia="新細明體" w:hAnsi="Book Antiqua" w:cs="Times New Roman"/>
      <w:lang w:eastAsia="zh-TW"/>
    </w:rPr>
  </w:style>
  <w:style w:type="character" w:styleId="FootnoteReference">
    <w:name w:val="footnote reference"/>
    <w:rsid w:val="00425E57"/>
    <w:rPr>
      <w:vertAlign w:val="superscript"/>
    </w:rPr>
  </w:style>
  <w:style w:type="paragraph" w:styleId="Title">
    <w:name w:val="Title"/>
    <w:basedOn w:val="Normal"/>
    <w:link w:val="TitleChar"/>
    <w:qFormat/>
    <w:rsid w:val="00425E57"/>
    <w:pPr>
      <w:jc w:val="center"/>
    </w:pPr>
    <w:rPr>
      <w:rFonts w:ascii="Times New Roman" w:eastAsia="新細明體" w:hAnsi="Times New Roman" w:cs="Times New Roman"/>
      <w:b/>
      <w:sz w:val="24"/>
      <w:lang w:eastAsia="zh-TW"/>
    </w:rPr>
  </w:style>
  <w:style w:type="character" w:customStyle="1" w:styleId="TitleChar">
    <w:name w:val="Title Char"/>
    <w:basedOn w:val="DefaultParagraphFont"/>
    <w:link w:val="Title"/>
    <w:rsid w:val="00425E57"/>
    <w:rPr>
      <w:rFonts w:ascii="Times New Roman" w:eastAsia="新細明體" w:hAnsi="Times New Roman" w:cs="Times New Roman"/>
      <w:b/>
      <w:sz w:val="24"/>
      <w:lang w:eastAsia="zh-TW"/>
    </w:rPr>
  </w:style>
  <w:style w:type="character" w:customStyle="1" w:styleId="CommentTextChar">
    <w:name w:val="Comment Text Char"/>
    <w:basedOn w:val="DefaultParagraphFont"/>
    <w:link w:val="CommentText"/>
    <w:uiPriority w:val="99"/>
    <w:semiHidden/>
    <w:rsid w:val="00425E57"/>
  </w:style>
  <w:style w:type="paragraph" w:styleId="CommentText">
    <w:name w:val="annotation text"/>
    <w:basedOn w:val="Normal"/>
    <w:link w:val="CommentTextChar"/>
    <w:uiPriority w:val="99"/>
    <w:semiHidden/>
    <w:unhideWhenUsed/>
    <w:rsid w:val="00425E57"/>
  </w:style>
  <w:style w:type="character" w:customStyle="1" w:styleId="CommentSubjectChar">
    <w:name w:val="Comment Subject Char"/>
    <w:basedOn w:val="CommentTextChar"/>
    <w:link w:val="CommentSubject"/>
    <w:uiPriority w:val="99"/>
    <w:semiHidden/>
    <w:rsid w:val="00425E57"/>
    <w:rPr>
      <w:b/>
      <w:bCs/>
    </w:rPr>
  </w:style>
  <w:style w:type="paragraph" w:styleId="CommentSubject">
    <w:name w:val="annotation subject"/>
    <w:basedOn w:val="CommentText"/>
    <w:next w:val="CommentText"/>
    <w:link w:val="CommentSubjectChar"/>
    <w:uiPriority w:val="99"/>
    <w:semiHidden/>
    <w:unhideWhenUsed/>
    <w:rsid w:val="00425E57"/>
    <w:rPr>
      <w:b/>
      <w:bCs/>
    </w:rPr>
  </w:style>
  <w:style w:type="paragraph" w:customStyle="1" w:styleId="Default">
    <w:name w:val="Default"/>
    <w:rsid w:val="00425E57"/>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6B"/>
    <w:pPr>
      <w:tabs>
        <w:tab w:val="center" w:pos="4320"/>
        <w:tab w:val="right" w:pos="8640"/>
      </w:tabs>
    </w:pPr>
  </w:style>
  <w:style w:type="character" w:customStyle="1" w:styleId="HeaderChar">
    <w:name w:val="Header Char"/>
    <w:basedOn w:val="DefaultParagraphFont"/>
    <w:link w:val="Header"/>
    <w:uiPriority w:val="99"/>
    <w:rsid w:val="00703A6B"/>
  </w:style>
  <w:style w:type="paragraph" w:styleId="Footer">
    <w:name w:val="footer"/>
    <w:basedOn w:val="Normal"/>
    <w:link w:val="FooterChar"/>
    <w:uiPriority w:val="99"/>
    <w:unhideWhenUsed/>
    <w:rsid w:val="00703A6B"/>
    <w:pPr>
      <w:tabs>
        <w:tab w:val="center" w:pos="4320"/>
        <w:tab w:val="right" w:pos="8640"/>
      </w:tabs>
    </w:pPr>
  </w:style>
  <w:style w:type="character" w:customStyle="1" w:styleId="FooterChar">
    <w:name w:val="Footer Char"/>
    <w:basedOn w:val="DefaultParagraphFont"/>
    <w:link w:val="Footer"/>
    <w:uiPriority w:val="99"/>
    <w:rsid w:val="00703A6B"/>
  </w:style>
  <w:style w:type="paragraph" w:styleId="BalloonText">
    <w:name w:val="Balloon Text"/>
    <w:basedOn w:val="Normal"/>
    <w:link w:val="BalloonTextChar"/>
    <w:uiPriority w:val="99"/>
    <w:semiHidden/>
    <w:unhideWhenUsed/>
    <w:rsid w:val="00703A6B"/>
    <w:rPr>
      <w:rFonts w:ascii="Lucida Grande" w:hAnsi="Lucida Grande" w:cs="Lucida Grande"/>
    </w:rPr>
  </w:style>
  <w:style w:type="character" w:customStyle="1" w:styleId="BalloonTextChar">
    <w:name w:val="Balloon Text Char"/>
    <w:basedOn w:val="DefaultParagraphFont"/>
    <w:link w:val="BalloonText"/>
    <w:uiPriority w:val="99"/>
    <w:semiHidden/>
    <w:rsid w:val="00703A6B"/>
    <w:rPr>
      <w:rFonts w:ascii="Lucida Grande" w:hAnsi="Lucida Grande" w:cs="Lucida Grande"/>
    </w:rPr>
  </w:style>
  <w:style w:type="table" w:styleId="TableGrid">
    <w:name w:val="Table Grid"/>
    <w:basedOn w:val="TableNormal"/>
    <w:uiPriority w:val="59"/>
    <w:rsid w:val="0005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D4BF7"/>
  </w:style>
  <w:style w:type="character" w:styleId="Hyperlink">
    <w:name w:val="Hyperlink"/>
    <w:basedOn w:val="DefaultParagraphFont"/>
    <w:uiPriority w:val="99"/>
    <w:unhideWhenUsed/>
    <w:rsid w:val="00425E57"/>
    <w:rPr>
      <w:color w:val="0000FF" w:themeColor="hyperlink"/>
      <w:u w:val="single"/>
    </w:rPr>
  </w:style>
  <w:style w:type="paragraph" w:styleId="ListParagraph">
    <w:name w:val="List Paragraph"/>
    <w:basedOn w:val="Normal"/>
    <w:uiPriority w:val="34"/>
    <w:qFormat/>
    <w:rsid w:val="00425E57"/>
    <w:pPr>
      <w:widowControl w:val="0"/>
      <w:ind w:leftChars="200" w:left="480"/>
    </w:pPr>
    <w:rPr>
      <w:rFonts w:ascii="Times New Roman" w:eastAsia="新細明體" w:hAnsi="Times New Roman" w:cs="Angsana New"/>
      <w:kern w:val="2"/>
      <w:sz w:val="24"/>
      <w:szCs w:val="24"/>
      <w:lang w:eastAsia="zh-TW"/>
    </w:rPr>
  </w:style>
  <w:style w:type="paragraph" w:styleId="BodyTextIndent">
    <w:name w:val="Body Text Indent"/>
    <w:basedOn w:val="Normal"/>
    <w:link w:val="BodyTextIndentChar"/>
    <w:uiPriority w:val="99"/>
    <w:semiHidden/>
    <w:unhideWhenUsed/>
    <w:rsid w:val="00425E57"/>
    <w:pPr>
      <w:spacing w:after="120"/>
      <w:ind w:leftChars="200" w:left="480"/>
    </w:pPr>
    <w:rPr>
      <w:rFonts w:eastAsia="MS Mincho"/>
    </w:rPr>
  </w:style>
  <w:style w:type="character" w:customStyle="1" w:styleId="BodyTextIndentChar">
    <w:name w:val="Body Text Indent Char"/>
    <w:basedOn w:val="DefaultParagraphFont"/>
    <w:link w:val="BodyTextIndent"/>
    <w:uiPriority w:val="99"/>
    <w:semiHidden/>
    <w:rsid w:val="00425E57"/>
    <w:rPr>
      <w:rFonts w:eastAsia="MS Mincho"/>
    </w:rPr>
  </w:style>
  <w:style w:type="paragraph" w:styleId="FootnoteText">
    <w:name w:val="footnote text"/>
    <w:basedOn w:val="Normal"/>
    <w:link w:val="FootnoteTextChar"/>
    <w:rsid w:val="00425E57"/>
    <w:pPr>
      <w:overflowPunct w:val="0"/>
      <w:autoSpaceDE w:val="0"/>
      <w:autoSpaceDN w:val="0"/>
      <w:adjustRightInd w:val="0"/>
      <w:textAlignment w:val="baseline"/>
    </w:pPr>
    <w:rPr>
      <w:rFonts w:ascii="Book Antiqua" w:eastAsia="新細明體" w:hAnsi="Book Antiqua" w:cs="Times New Roman"/>
      <w:lang w:eastAsia="zh-TW"/>
    </w:rPr>
  </w:style>
  <w:style w:type="character" w:customStyle="1" w:styleId="FootnoteTextChar">
    <w:name w:val="Footnote Text Char"/>
    <w:basedOn w:val="DefaultParagraphFont"/>
    <w:link w:val="FootnoteText"/>
    <w:rsid w:val="00425E57"/>
    <w:rPr>
      <w:rFonts w:ascii="Book Antiqua" w:eastAsia="新細明體" w:hAnsi="Book Antiqua" w:cs="Times New Roman"/>
      <w:lang w:eastAsia="zh-TW"/>
    </w:rPr>
  </w:style>
  <w:style w:type="character" w:styleId="FootnoteReference">
    <w:name w:val="footnote reference"/>
    <w:rsid w:val="00425E57"/>
    <w:rPr>
      <w:vertAlign w:val="superscript"/>
    </w:rPr>
  </w:style>
  <w:style w:type="paragraph" w:styleId="Title">
    <w:name w:val="Title"/>
    <w:basedOn w:val="Normal"/>
    <w:link w:val="TitleChar"/>
    <w:qFormat/>
    <w:rsid w:val="00425E57"/>
    <w:pPr>
      <w:jc w:val="center"/>
    </w:pPr>
    <w:rPr>
      <w:rFonts w:ascii="Times New Roman" w:eastAsia="新細明體" w:hAnsi="Times New Roman" w:cs="Times New Roman"/>
      <w:b/>
      <w:sz w:val="24"/>
      <w:lang w:eastAsia="zh-TW"/>
    </w:rPr>
  </w:style>
  <w:style w:type="character" w:customStyle="1" w:styleId="TitleChar">
    <w:name w:val="Title Char"/>
    <w:basedOn w:val="DefaultParagraphFont"/>
    <w:link w:val="Title"/>
    <w:rsid w:val="00425E57"/>
    <w:rPr>
      <w:rFonts w:ascii="Times New Roman" w:eastAsia="新細明體" w:hAnsi="Times New Roman" w:cs="Times New Roman"/>
      <w:b/>
      <w:sz w:val="24"/>
      <w:lang w:eastAsia="zh-TW"/>
    </w:rPr>
  </w:style>
  <w:style w:type="character" w:customStyle="1" w:styleId="CommentTextChar">
    <w:name w:val="Comment Text Char"/>
    <w:basedOn w:val="DefaultParagraphFont"/>
    <w:link w:val="CommentText"/>
    <w:uiPriority w:val="99"/>
    <w:semiHidden/>
    <w:rsid w:val="00425E57"/>
  </w:style>
  <w:style w:type="paragraph" w:styleId="CommentText">
    <w:name w:val="annotation text"/>
    <w:basedOn w:val="Normal"/>
    <w:link w:val="CommentTextChar"/>
    <w:uiPriority w:val="99"/>
    <w:semiHidden/>
    <w:unhideWhenUsed/>
    <w:rsid w:val="00425E57"/>
  </w:style>
  <w:style w:type="character" w:customStyle="1" w:styleId="CommentSubjectChar">
    <w:name w:val="Comment Subject Char"/>
    <w:basedOn w:val="CommentTextChar"/>
    <w:link w:val="CommentSubject"/>
    <w:uiPriority w:val="99"/>
    <w:semiHidden/>
    <w:rsid w:val="00425E57"/>
    <w:rPr>
      <w:b/>
      <w:bCs/>
    </w:rPr>
  </w:style>
  <w:style w:type="paragraph" w:styleId="CommentSubject">
    <w:name w:val="annotation subject"/>
    <w:basedOn w:val="CommentText"/>
    <w:next w:val="CommentText"/>
    <w:link w:val="CommentSubjectChar"/>
    <w:uiPriority w:val="99"/>
    <w:semiHidden/>
    <w:unhideWhenUsed/>
    <w:rsid w:val="00425E57"/>
    <w:rPr>
      <w:b/>
      <w:bCs/>
    </w:rPr>
  </w:style>
  <w:style w:type="paragraph" w:customStyle="1" w:styleId="Default">
    <w:name w:val="Default"/>
    <w:rsid w:val="00425E5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wallacechan@hkex.com.hk" TargetMode="External"/><Relationship Id="rId18" Type="http://schemas.openxmlformats.org/officeDocument/2006/relationships/hyperlink" Target="mailto:JoeHuang@hkex.com.h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harlesKwan@hkex.com.h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harlesKwan@hkex.com.h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ontassyaHutauruk@hkex.com.hk" TargetMode="External"/><Relationship Id="rId20" Type="http://schemas.openxmlformats.org/officeDocument/2006/relationships/hyperlink" Target="mailto:JoeHuang@hkex.com.h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hkex.com.hk/-/media/HKEX-Market/Services/Circulars-and-Notices/Participant-and-Members-Circulars/HKFE/2018/MKD_EQD_06_18_e.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hkex.com.hk/-/media/HKEX-Market/Services/Circulars-and-Notices/Participant-and-Members-Circulars/HKFE/2017/MKD_EQD_30_17_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SOAF1022\DM_SHARE\PDD_COMMON\PDD\$Outstanding%20Projects\$Additional%20Expiries\Circular\floralo@hkex.com.hk" TargetMode="External"/><Relationship Id="rId22" Type="http://schemas.openxmlformats.org/officeDocument/2006/relationships/hyperlink" Target="http://www.hkex.com.hk/-/media/HKEX-Market/Services/Circulars-and-Notices/Participant-and-Members-Circulars/HKFE/2017/MKD_EQD_30_17_e.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Page" ma:contentTypeID="0x01010901008F8C07B999CAA248A725B0C8BC6F8E1D" ma:contentTypeVersion="6" ma:contentTypeDescription="Create a new Content Page." ma:contentTypeScope="" ma:versionID="8f2b621dd1058c4a2a7315f9f138954f">
  <xsd:schema xmlns:xsd="http://www.w3.org/2001/XMLSchema" xmlns:xs="http://www.w3.org/2001/XMLSchema" xmlns:p="http://schemas.microsoft.com/office/2006/metadata/properties" xmlns:ns2="0a922257-2113-4642-8ee3-e676026e3f1e" xmlns:ns3="1ec09d76-aa99-462a-b8f8-405a448fee76" xmlns:ns4="2498116e-b2a2-4611-8a15-b9944301ac49" targetNamespace="http://schemas.microsoft.com/office/2006/metadata/properties" ma:root="true" ma:fieldsID="6d4cc9147b2c7f5b0e8baf9fefdaaa3a" ns2:_="" ns3:_="" ns4:_="">
    <xsd:import namespace="0a922257-2113-4642-8ee3-e676026e3f1e"/>
    <xsd:import namespace="1ec09d76-aa99-462a-b8f8-405a448fee76"/>
    <xsd:import namespace="2498116e-b2a2-4611-8a15-b9944301ac49"/>
    <xsd:element name="properties">
      <xsd:complexType>
        <xsd:sequence>
          <xsd:element name="documentManagement">
            <xsd:complexType>
              <xsd:all>
                <xsd:element ref="ns2:m4dab6f727da481182147be2e5eb544f" minOccurs="0"/>
                <xsd:element ref="ns3:TaxCatchAll" minOccurs="0"/>
                <xsd:element ref="ns3:TaxCatchAllLabel" minOccurs="0"/>
                <xsd:element ref="ns4:LastUpdated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2257-2113-4642-8ee3-e676026e3f1e" elementFormDefault="qualified">
    <xsd:import namespace="http://schemas.microsoft.com/office/2006/documentManagement/types"/>
    <xsd:import namespace="http://schemas.microsoft.com/office/infopath/2007/PartnerControls"/>
    <xsd:element name="m4dab6f727da481182147be2e5eb544f" ma:index="8" nillable="true" ma:taxonomy="true" ma:internalName="m4dab6f727da481182147be2e5eb544f" ma:taxonomyFieldName="Keyword0" ma:displayName="Keyword" ma:readOnly="false" ma:default="" ma:fieldId="{64dab6f7-27da-4811-8214-7be2e5eb544f}" ma:taxonomyMulti="true" ma:sspId="0332fe15-b9b2-4211-ba88-59dfac104c1c" ma:termSetId="1a335553-77da-4f9d-89d6-009e0511bdd3"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c09d76-aa99-462a-b8f8-405a448fee76"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97fb96f-eda1-4b3e-be67-edde81064035}" ma:internalName="TaxCatchAll" ma:showField="CatchAllData" ma:web="1ec09d76-aa99-462a-b8f8-405a448fee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7fb96f-eda1-4b3e-be67-edde81064035}" ma:internalName="TaxCatchAllLabel" ma:readOnly="true" ma:showField="CatchAllDataLabel" ma:web="1ec09d76-aa99-462a-b8f8-405a448fe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98116e-b2a2-4611-8a15-b9944301ac49" elementFormDefault="qualified">
    <xsd:import namespace="http://schemas.microsoft.com/office/2006/documentManagement/types"/>
    <xsd:import namespace="http://schemas.microsoft.com/office/infopath/2007/PartnerControls"/>
    <xsd:element name="LastUpdatedDate" ma:index="12" nillable="true" ma:displayName="Last modified" ma:format="DateOnly" ma:internalName="LastUpd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a922257-2113-4642-8ee3-e676026e3f1e">2Z5ZTZM4TKC2-140-61</_dlc_DocId>
    <_dlc_DocIdUrl xmlns="0a922257-2113-4642-8ee3-e676026e3f1e">
      <Url>https://iexchange.hkex/sites/hkex/HKExCCD/External Communications/_layouts/15/DocIdRedir.aspx?ID=2Z5ZTZM4TKC2-140-61</Url>
      <Description>2Z5ZTZM4TKC2-140-61</Description>
    </_dlc_DocIdUrl>
    <TaxCatchAll xmlns="1ec09d76-aa99-462a-b8f8-405a448fee76"/>
    <LastUpdatedDate xmlns="2498116e-b2a2-4611-8a15-b9944301ac49" xsi:nil="true"/>
    <m4dab6f727da481182147be2e5eb544f xmlns="0a922257-2113-4642-8ee3-e676026e3f1e">
      <Terms xmlns="http://schemas.microsoft.com/office/infopath/2007/PartnerControls"/>
    </m4dab6f727da481182147be2e5eb544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6627-CCA2-4EA4-83F0-90F35A63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2257-2113-4642-8ee3-e676026e3f1e"/>
    <ds:schemaRef ds:uri="1ec09d76-aa99-462a-b8f8-405a448fee76"/>
    <ds:schemaRef ds:uri="2498116e-b2a2-4611-8a15-b9944301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4A5EF-946E-49F8-9CCE-BA558AC41ED4}">
  <ds:schemaRefs>
    <ds:schemaRef ds:uri="http://schemas.microsoft.com/sharepoint/events"/>
  </ds:schemaRefs>
</ds:datastoreItem>
</file>

<file path=customXml/itemProps3.xml><?xml version="1.0" encoding="utf-8"?>
<ds:datastoreItem xmlns:ds="http://schemas.openxmlformats.org/officeDocument/2006/customXml" ds:itemID="{6319F99C-04FA-4016-BD1E-E980BE9A5209}">
  <ds:schemaRefs>
    <ds:schemaRef ds:uri="http://schemas.openxmlformats.org/package/2006/metadata/core-properties"/>
    <ds:schemaRef ds:uri="http://purl.org/dc/terms/"/>
    <ds:schemaRef ds:uri="0a922257-2113-4642-8ee3-e676026e3f1e"/>
    <ds:schemaRef ds:uri="2498116e-b2a2-4611-8a15-b9944301ac49"/>
    <ds:schemaRef ds:uri="http://schemas.microsoft.com/office/2006/documentManagement/types"/>
    <ds:schemaRef ds:uri="http://purl.org/dc/elements/1.1/"/>
    <ds:schemaRef ds:uri="http://schemas.microsoft.com/office/2006/metadata/properties"/>
    <ds:schemaRef ds:uri="http://schemas.microsoft.com/office/infopath/2007/PartnerControls"/>
    <ds:schemaRef ds:uri="1ec09d76-aa99-462a-b8f8-405a448fee76"/>
    <ds:schemaRef ds:uri="http://www.w3.org/XML/1998/namespace"/>
    <ds:schemaRef ds:uri="http://purl.org/dc/dcmitype/"/>
  </ds:schemaRefs>
</ds:datastoreItem>
</file>

<file path=customXml/itemProps4.xml><?xml version="1.0" encoding="utf-8"?>
<ds:datastoreItem xmlns:ds="http://schemas.openxmlformats.org/officeDocument/2006/customXml" ds:itemID="{D9000806-9216-4936-9E4D-E6E1ED0B8819}">
  <ds:schemaRefs>
    <ds:schemaRef ds:uri="http://schemas.microsoft.com/sharepoint/v3/contenttype/forms"/>
  </ds:schemaRefs>
</ds:datastoreItem>
</file>

<file path=customXml/itemProps5.xml><?xml version="1.0" encoding="utf-8"?>
<ds:datastoreItem xmlns:ds="http://schemas.openxmlformats.org/officeDocument/2006/customXml" ds:itemID="{FABF49BD-4A72-44BF-8875-056E3593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O&amp;M</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Lo</dc:creator>
  <cp:lastModifiedBy>Wallace Chan</cp:lastModifiedBy>
  <cp:revision>3</cp:revision>
  <cp:lastPrinted>2018-05-25T01:09:00Z</cp:lastPrinted>
  <dcterms:created xsi:type="dcterms:W3CDTF">2018-05-28T01:35:00Z</dcterms:created>
  <dcterms:modified xsi:type="dcterms:W3CDTF">2018-05-28T02:26:00Z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0x01010901008F8C07B999CAA248A725B0C8BC6F8E1D</vt:lpwstr>
  </property>
  <property fmtid="{D5CDD505-2E9C-101B-9397-08002B2CF9AE}" pid="3" name="_dlc_DocIdItemGuid">
    <vt:lpwstr>507149c1-4039-4867-9a47-24f821abdba4</vt:lpwstr>
  </property>
  <property fmtid="{D5CDD505-2E9C-101B-9397-08002B2CF9AE}" pid="4" name="Keyword0">
    <vt:lpwstr/>
  </property>
</Properties>
</file>